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76" w:rsidRDefault="00A76C76" w:rsidP="00A76C76">
      <w:pPr>
        <w:rPr>
          <w:rFonts w:hint="cs"/>
          <w:rtl/>
        </w:rPr>
      </w:pPr>
    </w:p>
    <w:p w:rsidR="00A76C76" w:rsidRPr="00CC3324" w:rsidRDefault="00A76C76" w:rsidP="00A76C76">
      <w:pPr>
        <w:pStyle w:val="Heading1"/>
        <w:rPr>
          <w:color w:val="0000FF"/>
          <w:rtl/>
        </w:rPr>
      </w:pPr>
      <w:r>
        <w:rPr>
          <w:rFonts w:hint="cs"/>
          <w:color w:val="0000FF"/>
          <w:rtl/>
        </w:rPr>
        <w:t>العلوم الإجتماعية</w:t>
      </w:r>
    </w:p>
    <w:p w:rsidR="00A76C76" w:rsidRDefault="00A52DE1" w:rsidP="00A76C7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76C76">
        <w:rPr>
          <w:rFonts w:hint="cs"/>
          <w:rtl/>
        </w:rPr>
        <w:t xml:space="preserve">إقتصاد </w:t>
      </w:r>
    </w:p>
    <w:p w:rsidR="00A76C76" w:rsidRPr="00F711CC" w:rsidRDefault="00A76C76" w:rsidP="00A76C76">
      <w:pPr>
        <w:pStyle w:val="Heading2"/>
        <w:jc w:val="left"/>
        <w:rPr>
          <w:rtl/>
        </w:rPr>
      </w:pPr>
      <w:r>
        <w:rPr>
          <w:rFonts w:hint="cs"/>
          <w:rtl/>
        </w:rPr>
        <w:t xml:space="preserve">إنفاق </w:t>
      </w:r>
      <w:r>
        <w:rPr>
          <w:rtl/>
        </w:rPr>
        <w:t>–</w:t>
      </w:r>
      <w:r>
        <w:rPr>
          <w:rFonts w:hint="cs"/>
          <w:rtl/>
        </w:rPr>
        <w:t xml:space="preserve"> تعليم </w:t>
      </w:r>
      <w:r>
        <w:rPr>
          <w:rtl/>
        </w:rPr>
        <w:t>–</w:t>
      </w:r>
      <w:r>
        <w:rPr>
          <w:rFonts w:hint="cs"/>
          <w:rtl/>
        </w:rPr>
        <w:t xml:space="preserve"> السعودية - اليمن</w:t>
      </w:r>
      <w:r>
        <w:rPr>
          <w:sz w:val="16"/>
          <w:szCs w:val="16"/>
          <w:rtl/>
        </w:rPr>
        <w:tab/>
      </w:r>
    </w:p>
    <w:tbl>
      <w:tblPr>
        <w:bidiVisual/>
        <w:tblW w:w="689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236"/>
        <w:gridCol w:w="2053"/>
        <w:gridCol w:w="3949"/>
      </w:tblGrid>
      <w:tr w:rsidR="00A76C76" w:rsidRPr="00B425E3" w:rsidTr="00A42D5E">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A76C76" w:rsidRPr="00B03CF4" w:rsidRDefault="00A76C76" w:rsidP="00A42D5E">
            <w:pPr>
              <w:jc w:val="center"/>
              <w:rPr>
                <w:b/>
                <w:bCs/>
                <w:color w:val="0000FF"/>
                <w:sz w:val="28"/>
              </w:rPr>
            </w:pPr>
            <w:r w:rsidRPr="00B03CF4">
              <w:rPr>
                <w:rFonts w:hint="cs"/>
                <w:b/>
                <w:bCs/>
                <w:color w:val="0000FF"/>
                <w:sz w:val="28"/>
                <w:rtl/>
              </w:rPr>
              <w:t>0</w:t>
            </w:r>
            <w:r>
              <w:rPr>
                <w:rFonts w:hint="cs"/>
                <w:b/>
                <w:bCs/>
                <w:color w:val="0000FF"/>
                <w:sz w:val="28"/>
                <w:rtl/>
              </w:rPr>
              <w:t>8</w:t>
            </w:r>
          </w:p>
        </w:tc>
        <w:tc>
          <w:tcPr>
            <w:tcW w:w="236" w:type="dxa"/>
            <w:tcBorders>
              <w:top w:val="nil"/>
              <w:left w:val="single" w:sz="12" w:space="0" w:color="auto"/>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Pr>
            </w:pPr>
            <w:r w:rsidRPr="00B425E3">
              <w:rPr>
                <w:rFonts w:hint="cs"/>
                <w:b/>
                <w:bCs/>
                <w:sz w:val="28"/>
                <w:rtl/>
              </w:rPr>
              <w:t>رقــم البحــث :</w:t>
            </w:r>
          </w:p>
        </w:tc>
        <w:tc>
          <w:tcPr>
            <w:tcW w:w="3949" w:type="dxa"/>
            <w:tcBorders>
              <w:top w:val="nil"/>
              <w:left w:val="nil"/>
              <w:bottom w:val="nil"/>
              <w:right w:val="nil"/>
            </w:tcBorders>
          </w:tcPr>
          <w:p w:rsidR="00A76C76" w:rsidRPr="00B425E3" w:rsidRDefault="00A76C76" w:rsidP="00A42D5E">
            <w:pPr>
              <w:rPr>
                <w:sz w:val="28"/>
              </w:rPr>
            </w:pPr>
            <w:r w:rsidRPr="00B425E3">
              <w:rPr>
                <w:rFonts w:hint="cs"/>
                <w:sz w:val="28"/>
                <w:rtl/>
              </w:rPr>
              <w:t>353/428</w:t>
            </w:r>
          </w:p>
        </w:tc>
      </w:tr>
      <w:tr w:rsidR="00A76C76" w:rsidRPr="00B425E3" w:rsidTr="00A42D5E">
        <w:trPr>
          <w:cantSplit/>
        </w:trPr>
        <w:tc>
          <w:tcPr>
            <w:tcW w:w="654" w:type="dxa"/>
            <w:tcBorders>
              <w:top w:val="single" w:sz="12" w:space="0" w:color="auto"/>
              <w:left w:val="nil"/>
              <w:bottom w:val="nil"/>
              <w:right w:val="nil"/>
            </w:tcBorders>
            <w:vAlign w:val="center"/>
          </w:tcPr>
          <w:p w:rsidR="00A76C76" w:rsidRPr="00B425E3" w:rsidRDefault="00A76C76" w:rsidP="00A42D5E">
            <w:pPr>
              <w:rPr>
                <w:sz w:val="28"/>
              </w:rPr>
            </w:pPr>
          </w:p>
        </w:tc>
        <w:tc>
          <w:tcPr>
            <w:tcW w:w="236" w:type="dxa"/>
            <w:tcBorders>
              <w:top w:val="nil"/>
              <w:left w:val="nil"/>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tl/>
              </w:rPr>
            </w:pPr>
            <w:r w:rsidRPr="00B425E3">
              <w:rPr>
                <w:rFonts w:hint="cs"/>
                <w:b/>
                <w:bCs/>
                <w:sz w:val="28"/>
                <w:rtl/>
              </w:rPr>
              <w:t>عنوان البحـــث :</w:t>
            </w:r>
          </w:p>
        </w:tc>
        <w:tc>
          <w:tcPr>
            <w:tcW w:w="3949" w:type="dxa"/>
            <w:tcBorders>
              <w:top w:val="nil"/>
              <w:left w:val="nil"/>
              <w:bottom w:val="nil"/>
              <w:right w:val="nil"/>
            </w:tcBorders>
          </w:tcPr>
          <w:p w:rsidR="00A76C76" w:rsidRPr="00B425E3" w:rsidRDefault="00A76C76" w:rsidP="00A42D5E">
            <w:pPr>
              <w:rPr>
                <w:sz w:val="28"/>
                <w:rtl/>
              </w:rPr>
            </w:pPr>
            <w:r w:rsidRPr="00B425E3">
              <w:rPr>
                <w:rFonts w:hint="cs"/>
                <w:sz w:val="28"/>
                <w:rtl/>
              </w:rPr>
              <w:t>اتجاهات الإنفاق على التعليم الجامعي في المملكة العربية السعودية والجمهورية اليمنية: دراسة مقارنة.</w:t>
            </w:r>
          </w:p>
        </w:tc>
      </w:tr>
      <w:tr w:rsidR="00A76C76" w:rsidRPr="00B425E3" w:rsidTr="00A42D5E">
        <w:tc>
          <w:tcPr>
            <w:tcW w:w="654" w:type="dxa"/>
            <w:tcBorders>
              <w:top w:val="nil"/>
              <w:left w:val="nil"/>
              <w:bottom w:val="nil"/>
              <w:right w:val="nil"/>
            </w:tcBorders>
          </w:tcPr>
          <w:p w:rsidR="00A76C76" w:rsidRPr="00B425E3" w:rsidRDefault="00A76C76" w:rsidP="00A42D5E">
            <w:pPr>
              <w:jc w:val="both"/>
              <w:rPr>
                <w:b/>
                <w:bCs/>
                <w:sz w:val="28"/>
              </w:rPr>
            </w:pPr>
          </w:p>
        </w:tc>
        <w:tc>
          <w:tcPr>
            <w:tcW w:w="236" w:type="dxa"/>
            <w:tcBorders>
              <w:top w:val="nil"/>
              <w:left w:val="nil"/>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Pr>
            </w:pPr>
            <w:r w:rsidRPr="00B425E3">
              <w:rPr>
                <w:rFonts w:hint="cs"/>
                <w:b/>
                <w:bCs/>
                <w:sz w:val="28"/>
                <w:rtl/>
              </w:rPr>
              <w:t>الباحث الرئيــس :</w:t>
            </w:r>
          </w:p>
        </w:tc>
        <w:tc>
          <w:tcPr>
            <w:tcW w:w="3949" w:type="dxa"/>
            <w:tcBorders>
              <w:top w:val="nil"/>
              <w:left w:val="nil"/>
              <w:bottom w:val="nil"/>
              <w:right w:val="nil"/>
            </w:tcBorders>
          </w:tcPr>
          <w:p w:rsidR="00A76C76" w:rsidRPr="00B425E3" w:rsidRDefault="00A76C76" w:rsidP="00A42D5E">
            <w:pPr>
              <w:rPr>
                <w:sz w:val="28"/>
              </w:rPr>
            </w:pPr>
            <w:r w:rsidRPr="00B425E3">
              <w:rPr>
                <w:rFonts w:hint="cs"/>
                <w:sz w:val="28"/>
                <w:rtl/>
              </w:rPr>
              <w:t>د.</w:t>
            </w:r>
            <w:r>
              <w:rPr>
                <w:rFonts w:hint="cs"/>
                <w:sz w:val="28"/>
                <w:rtl/>
              </w:rPr>
              <w:t xml:space="preserve"> </w:t>
            </w:r>
            <w:r w:rsidRPr="00B425E3">
              <w:rPr>
                <w:rFonts w:hint="cs"/>
                <w:sz w:val="28"/>
                <w:rtl/>
              </w:rPr>
              <w:t>حمد صالح الطاسان</w:t>
            </w:r>
          </w:p>
        </w:tc>
      </w:tr>
      <w:tr w:rsidR="00A76C76" w:rsidRPr="00B425E3" w:rsidTr="00A42D5E">
        <w:tc>
          <w:tcPr>
            <w:tcW w:w="654" w:type="dxa"/>
            <w:tcBorders>
              <w:top w:val="nil"/>
              <w:left w:val="nil"/>
              <w:bottom w:val="nil"/>
              <w:right w:val="nil"/>
            </w:tcBorders>
          </w:tcPr>
          <w:p w:rsidR="00A76C76" w:rsidRPr="00B425E3" w:rsidRDefault="00A76C76" w:rsidP="00A42D5E">
            <w:pPr>
              <w:jc w:val="both"/>
              <w:rPr>
                <w:b/>
                <w:bCs/>
                <w:sz w:val="28"/>
              </w:rPr>
            </w:pPr>
          </w:p>
        </w:tc>
        <w:tc>
          <w:tcPr>
            <w:tcW w:w="236" w:type="dxa"/>
            <w:tcBorders>
              <w:top w:val="nil"/>
              <w:left w:val="nil"/>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Pr>
            </w:pPr>
            <w:r w:rsidRPr="00B425E3">
              <w:rPr>
                <w:rFonts w:hint="cs"/>
                <w:b/>
                <w:bCs/>
                <w:sz w:val="28"/>
                <w:rtl/>
              </w:rPr>
              <w:t>الباحثون المشاركون :</w:t>
            </w:r>
          </w:p>
        </w:tc>
        <w:tc>
          <w:tcPr>
            <w:tcW w:w="3949" w:type="dxa"/>
            <w:tcBorders>
              <w:top w:val="nil"/>
              <w:left w:val="nil"/>
              <w:bottom w:val="nil"/>
              <w:right w:val="nil"/>
            </w:tcBorders>
          </w:tcPr>
          <w:p w:rsidR="00A76C76" w:rsidRPr="00B425E3" w:rsidRDefault="00A76C76" w:rsidP="00A42D5E">
            <w:pPr>
              <w:rPr>
                <w:sz w:val="28"/>
                <w:rtl/>
              </w:rPr>
            </w:pPr>
            <w:r w:rsidRPr="00B425E3">
              <w:rPr>
                <w:rFonts w:hint="cs"/>
                <w:sz w:val="28"/>
                <w:rtl/>
              </w:rPr>
              <w:t>د.</w:t>
            </w:r>
            <w:r>
              <w:rPr>
                <w:rFonts w:hint="cs"/>
                <w:sz w:val="28"/>
                <w:rtl/>
              </w:rPr>
              <w:t xml:space="preserve"> </w:t>
            </w:r>
            <w:r w:rsidRPr="00B425E3">
              <w:rPr>
                <w:rFonts w:hint="cs"/>
                <w:sz w:val="28"/>
                <w:rtl/>
              </w:rPr>
              <w:t>عمر سعيد ب</w:t>
            </w:r>
            <w:r>
              <w:rPr>
                <w:rFonts w:hint="cs"/>
                <w:sz w:val="28"/>
                <w:rtl/>
              </w:rPr>
              <w:t>ام</w:t>
            </w:r>
            <w:r w:rsidRPr="00B425E3">
              <w:rPr>
                <w:rFonts w:hint="cs"/>
                <w:sz w:val="28"/>
                <w:rtl/>
              </w:rPr>
              <w:t>فلح</w:t>
            </w:r>
          </w:p>
          <w:p w:rsidR="00A76C76" w:rsidRPr="00B425E3" w:rsidRDefault="00A76C76" w:rsidP="00A42D5E">
            <w:pPr>
              <w:rPr>
                <w:sz w:val="28"/>
              </w:rPr>
            </w:pPr>
            <w:r w:rsidRPr="00B425E3">
              <w:rPr>
                <w:rFonts w:hint="cs"/>
                <w:sz w:val="28"/>
                <w:rtl/>
              </w:rPr>
              <w:t>د.</w:t>
            </w:r>
            <w:r>
              <w:rPr>
                <w:rFonts w:hint="cs"/>
                <w:sz w:val="28"/>
                <w:rtl/>
              </w:rPr>
              <w:t xml:space="preserve"> </w:t>
            </w:r>
            <w:r w:rsidRPr="00B425E3">
              <w:rPr>
                <w:rFonts w:hint="cs"/>
                <w:sz w:val="28"/>
                <w:rtl/>
              </w:rPr>
              <w:t>محمد عمر باطويح</w:t>
            </w:r>
          </w:p>
        </w:tc>
      </w:tr>
      <w:tr w:rsidR="00A76C76" w:rsidRPr="00B425E3" w:rsidTr="00A42D5E">
        <w:tc>
          <w:tcPr>
            <w:tcW w:w="654" w:type="dxa"/>
            <w:tcBorders>
              <w:top w:val="nil"/>
              <w:left w:val="nil"/>
              <w:bottom w:val="nil"/>
              <w:right w:val="nil"/>
            </w:tcBorders>
          </w:tcPr>
          <w:p w:rsidR="00A76C76" w:rsidRPr="00B425E3" w:rsidRDefault="00A76C76" w:rsidP="00A42D5E">
            <w:pPr>
              <w:jc w:val="both"/>
              <w:rPr>
                <w:b/>
                <w:bCs/>
                <w:sz w:val="28"/>
              </w:rPr>
            </w:pPr>
          </w:p>
        </w:tc>
        <w:tc>
          <w:tcPr>
            <w:tcW w:w="236" w:type="dxa"/>
            <w:tcBorders>
              <w:top w:val="nil"/>
              <w:left w:val="nil"/>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Pr>
            </w:pPr>
            <w:r w:rsidRPr="00B425E3">
              <w:rPr>
                <w:rFonts w:hint="cs"/>
                <w:b/>
                <w:bCs/>
                <w:sz w:val="28"/>
                <w:rtl/>
              </w:rPr>
              <w:t>الجهــــــة :</w:t>
            </w:r>
          </w:p>
        </w:tc>
        <w:tc>
          <w:tcPr>
            <w:tcW w:w="3949" w:type="dxa"/>
            <w:tcBorders>
              <w:top w:val="nil"/>
              <w:left w:val="nil"/>
              <w:bottom w:val="nil"/>
              <w:right w:val="nil"/>
            </w:tcBorders>
          </w:tcPr>
          <w:p w:rsidR="00A76C76" w:rsidRPr="00B425E3" w:rsidRDefault="00A76C76" w:rsidP="00A42D5E">
            <w:pPr>
              <w:rPr>
                <w:sz w:val="28"/>
              </w:rPr>
            </w:pPr>
            <w:r w:rsidRPr="00B425E3">
              <w:rPr>
                <w:rFonts w:hint="cs"/>
                <w:sz w:val="28"/>
                <w:rtl/>
              </w:rPr>
              <w:t>كلية الاقتصاد والإدارة</w:t>
            </w:r>
          </w:p>
        </w:tc>
      </w:tr>
      <w:tr w:rsidR="00A76C76" w:rsidRPr="00B425E3" w:rsidTr="00A42D5E">
        <w:tc>
          <w:tcPr>
            <w:tcW w:w="654" w:type="dxa"/>
            <w:tcBorders>
              <w:top w:val="nil"/>
              <w:left w:val="nil"/>
              <w:bottom w:val="nil"/>
              <w:right w:val="nil"/>
            </w:tcBorders>
          </w:tcPr>
          <w:p w:rsidR="00A76C76" w:rsidRPr="00B425E3" w:rsidRDefault="00A76C76" w:rsidP="00A42D5E">
            <w:pPr>
              <w:jc w:val="both"/>
              <w:rPr>
                <w:b/>
                <w:bCs/>
                <w:sz w:val="28"/>
              </w:rPr>
            </w:pPr>
          </w:p>
        </w:tc>
        <w:tc>
          <w:tcPr>
            <w:tcW w:w="236" w:type="dxa"/>
            <w:tcBorders>
              <w:top w:val="nil"/>
              <w:left w:val="nil"/>
              <w:bottom w:val="nil"/>
              <w:right w:val="nil"/>
            </w:tcBorders>
          </w:tcPr>
          <w:p w:rsidR="00A76C76" w:rsidRPr="00B425E3" w:rsidRDefault="00A76C76" w:rsidP="00A42D5E">
            <w:pPr>
              <w:jc w:val="both"/>
              <w:rPr>
                <w:b/>
                <w:bCs/>
                <w:sz w:val="28"/>
              </w:rPr>
            </w:pPr>
          </w:p>
        </w:tc>
        <w:tc>
          <w:tcPr>
            <w:tcW w:w="2053" w:type="dxa"/>
            <w:tcBorders>
              <w:top w:val="nil"/>
              <w:left w:val="nil"/>
              <w:bottom w:val="nil"/>
              <w:right w:val="nil"/>
            </w:tcBorders>
          </w:tcPr>
          <w:p w:rsidR="00A76C76" w:rsidRPr="00B425E3" w:rsidRDefault="00A76C76" w:rsidP="00A42D5E">
            <w:pPr>
              <w:jc w:val="both"/>
              <w:rPr>
                <w:b/>
                <w:bCs/>
                <w:sz w:val="28"/>
              </w:rPr>
            </w:pPr>
            <w:r w:rsidRPr="00B425E3">
              <w:rPr>
                <w:rFonts w:hint="cs"/>
                <w:b/>
                <w:bCs/>
                <w:sz w:val="28"/>
                <w:rtl/>
              </w:rPr>
              <w:t>مدة تنفيذ البحث  :</w:t>
            </w:r>
          </w:p>
        </w:tc>
        <w:tc>
          <w:tcPr>
            <w:tcW w:w="3949" w:type="dxa"/>
            <w:tcBorders>
              <w:top w:val="nil"/>
              <w:left w:val="nil"/>
              <w:bottom w:val="nil"/>
              <w:right w:val="nil"/>
            </w:tcBorders>
          </w:tcPr>
          <w:p w:rsidR="00A76C76" w:rsidRPr="00B425E3" w:rsidRDefault="00A76C76" w:rsidP="00A42D5E">
            <w:pPr>
              <w:ind w:left="1466" w:hanging="1466"/>
              <w:rPr>
                <w:sz w:val="28"/>
              </w:rPr>
            </w:pPr>
            <w:r w:rsidRPr="00B425E3">
              <w:rPr>
                <w:rFonts w:hint="cs"/>
                <w:sz w:val="28"/>
                <w:rtl/>
              </w:rPr>
              <w:t>9 شهور</w:t>
            </w:r>
          </w:p>
        </w:tc>
      </w:tr>
    </w:tbl>
    <w:p w:rsidR="00A76C76" w:rsidRPr="00B425E3" w:rsidRDefault="00A76C76" w:rsidP="00A76C76">
      <w:pPr>
        <w:spacing w:before="240"/>
        <w:ind w:left="26" w:firstLine="7"/>
        <w:jc w:val="center"/>
        <w:rPr>
          <w:b/>
          <w:bCs/>
          <w:sz w:val="28"/>
          <w:rtl/>
        </w:rPr>
      </w:pPr>
      <w:r w:rsidRPr="00B425E3">
        <w:rPr>
          <w:rFonts w:hint="cs"/>
          <w:b/>
          <w:bCs/>
          <w:sz w:val="28"/>
          <w:rtl/>
        </w:rPr>
        <w:t>مستخلص البحث</w:t>
      </w:r>
    </w:p>
    <w:p w:rsidR="00A76C76" w:rsidRPr="00B425E3" w:rsidRDefault="00A76C76" w:rsidP="00A76C76">
      <w:pPr>
        <w:spacing w:before="240"/>
        <w:ind w:left="26"/>
        <w:rPr>
          <w:sz w:val="28"/>
          <w:rtl/>
        </w:rPr>
      </w:pPr>
      <w:r w:rsidRPr="00B425E3">
        <w:rPr>
          <w:rFonts w:hint="cs"/>
          <w:sz w:val="28"/>
          <w:rtl/>
        </w:rPr>
        <w:t xml:space="preserve">             يمثل الإنفاق على التعليم الجامعي مرتكزاً أساسياً لتعليم جامعي يرتبط بمشكلات المجتمع ومتطلباته الأساسية التي تسهم في تنفيذ خطط التنمية الاقتصادية والاجتماعية والثقافية وغيرها، إلى جانب توفير احتياجات ومتطلبات سوق العمل من مختلف التخصصات الإدارية والفنية وغيرها.</w:t>
      </w:r>
    </w:p>
    <w:p w:rsidR="00A76C76" w:rsidRPr="00B425E3" w:rsidRDefault="00A76C76" w:rsidP="00A76C76">
      <w:pPr>
        <w:ind w:left="26"/>
        <w:rPr>
          <w:sz w:val="28"/>
          <w:rtl/>
        </w:rPr>
      </w:pPr>
      <w:r w:rsidRPr="00B425E3">
        <w:rPr>
          <w:rFonts w:hint="cs"/>
          <w:sz w:val="28"/>
          <w:rtl/>
        </w:rPr>
        <w:tab/>
        <w:t>إن اتجاهات الإنفاق على التعليم الجامعي في الوقت الراهن بالنسبة لمعظم الجامعات العربية تعتبر تحدياً يقف أمام تطورها، حيث لازالت الطرق المستخدمة لتوزيع الإنفاق في تلك الجامعات لا تساهم في تحقيق الاستقلال العلمي والإداري والمالي، ولا تساعد على تطوير البنية التحتية والقاعدة العلمية. بالتالي، فإن تلك الجامعات لا تستطيع مواكبة المتغيرات المحيطة بها على المستوى العالمي، خاصة في ظل التطورات التي يشهدها العالم في مختلف المجالات، مما يؤكد وجود فجوة كبيرة بين أغلب الجامعات العربية وجامعات الدول المتقدمة. إذ تمثل سياسة الإنفاق وفلسفتها أحد أهم عناصر تلك الفجوة.</w:t>
      </w:r>
    </w:p>
    <w:p w:rsidR="00A76C76" w:rsidRPr="00B425E3" w:rsidRDefault="00A76C76" w:rsidP="00A76C76">
      <w:pPr>
        <w:ind w:left="26"/>
        <w:rPr>
          <w:sz w:val="28"/>
          <w:rtl/>
        </w:rPr>
      </w:pPr>
      <w:r w:rsidRPr="00B425E3">
        <w:rPr>
          <w:rFonts w:hint="cs"/>
          <w:sz w:val="28"/>
          <w:rtl/>
        </w:rPr>
        <w:tab/>
        <w:t>في هذا السياق، فإن تحقيق أهداف الجامعات يتحدد من خلال سياسة الإنفاق التي تستند على أسس علمية تعتمد على ربط الإنفاق بأهداف الجامعات. كل ذلك يتطلب وضع سياسات معاصرة للتعليم الجامعي لما من شأنه مواكبة المتغيرات الداخلية والخارجية.</w:t>
      </w:r>
    </w:p>
    <w:p w:rsidR="00A76C76" w:rsidRPr="00B425E3" w:rsidRDefault="00A76C76" w:rsidP="00A76C76">
      <w:pPr>
        <w:ind w:left="26"/>
        <w:rPr>
          <w:sz w:val="28"/>
          <w:rtl/>
        </w:rPr>
      </w:pPr>
      <w:r w:rsidRPr="00B425E3">
        <w:rPr>
          <w:rFonts w:hint="cs"/>
          <w:sz w:val="28"/>
          <w:rtl/>
        </w:rPr>
        <w:tab/>
        <w:t>لذا فإن هذا البحث يهدف إلى دراسة وتحليل اتجاهات الإنفاق على التعليم الجامعي في بعض الجامعات السعودية واليمنية خلال المدة من 1996م إلى 2005م.  تحتوي الدراسة مقارنة لاتجاهات الإنفاق في نموذجين مختلفين لتلك الجامعات سواء كان ذلك من حيث سياساتها التعليمية أو من حيث حجم مواردها المالية. كما يهدف البحث أيضاً إلى وضع المعالجات الكفيلة بوضع الآليات لربط مستوى واتجاهات الإنفاق لتحقيق أهداف رسالة الجامعات وأهدافها.</w:t>
      </w:r>
    </w:p>
    <w:p w:rsidR="008E5011" w:rsidRDefault="008E5011">
      <w:pPr>
        <w:bidi w:val="0"/>
        <w:spacing w:after="200" w:line="276" w:lineRule="auto"/>
        <w:jc w:val="left"/>
        <w:rPr>
          <w:rtl/>
        </w:rPr>
      </w:pPr>
      <w:r>
        <w:rPr>
          <w:rtl/>
        </w:rPr>
        <w:br w:type="page"/>
      </w:r>
    </w:p>
    <w:p w:rsidR="008E5011" w:rsidRPr="00CC3324" w:rsidRDefault="008E5011" w:rsidP="008E5011">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8E5011" w:rsidRPr="00E03176" w:rsidRDefault="00A52DE1" w:rsidP="008E5011">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E5011">
        <w:rPr>
          <w:rFonts w:cs="Arial"/>
          <w:sz w:val="24"/>
          <w:szCs w:val="24"/>
        </w:rPr>
        <w:t xml:space="preserve">  Economics</w:t>
      </w:r>
    </w:p>
    <w:p w:rsidR="008E5011" w:rsidRPr="007627D8" w:rsidRDefault="008E5011" w:rsidP="008E5011">
      <w:pPr>
        <w:pStyle w:val="Heading3"/>
        <w:ind w:left="436"/>
        <w:rPr>
          <w:szCs w:val="24"/>
        </w:rPr>
      </w:pPr>
      <w:r>
        <w:rPr>
          <w:szCs w:val="24"/>
        </w:rPr>
        <w:t>Higher Education – Saudi - Yemen</w:t>
      </w:r>
    </w:p>
    <w:tbl>
      <w:tblPr>
        <w:tblW w:w="7199" w:type="dxa"/>
        <w:tblBorders>
          <w:top w:val="single" w:sz="4" w:space="0" w:color="auto"/>
          <w:left w:val="single" w:sz="4" w:space="0" w:color="auto"/>
          <w:bottom w:val="single" w:sz="4" w:space="0" w:color="auto"/>
          <w:right w:val="single" w:sz="4" w:space="0" w:color="auto"/>
        </w:tblBorders>
        <w:tblLook w:val="0000"/>
      </w:tblPr>
      <w:tblGrid>
        <w:gridCol w:w="596"/>
        <w:gridCol w:w="262"/>
        <w:gridCol w:w="2605"/>
        <w:gridCol w:w="3736"/>
      </w:tblGrid>
      <w:tr w:rsidR="008E5011" w:rsidTr="00A42D5E">
        <w:trPr>
          <w:trHeight w:val="401"/>
        </w:trPr>
        <w:tc>
          <w:tcPr>
            <w:tcW w:w="596" w:type="dxa"/>
            <w:tcBorders>
              <w:top w:val="single" w:sz="18" w:space="0" w:color="auto"/>
              <w:left w:val="single" w:sz="18" w:space="0" w:color="auto"/>
              <w:bottom w:val="single" w:sz="18" w:space="0" w:color="auto"/>
              <w:right w:val="single" w:sz="18" w:space="0" w:color="auto"/>
            </w:tcBorders>
            <w:vAlign w:val="center"/>
          </w:tcPr>
          <w:p w:rsidR="008E5011" w:rsidRPr="00CC3324" w:rsidRDefault="008E5011" w:rsidP="00A42D5E">
            <w:pPr>
              <w:bidi w:val="0"/>
              <w:rPr>
                <w:b/>
                <w:bCs/>
                <w:color w:val="0000FF"/>
                <w:sz w:val="32"/>
                <w:szCs w:val="32"/>
              </w:rPr>
            </w:pPr>
            <w:r w:rsidRPr="00CC3324">
              <w:rPr>
                <w:b/>
                <w:bCs/>
                <w:color w:val="0000FF"/>
                <w:sz w:val="32"/>
                <w:szCs w:val="32"/>
              </w:rPr>
              <w:t>0</w:t>
            </w:r>
            <w:r>
              <w:rPr>
                <w:b/>
                <w:bCs/>
                <w:color w:val="0000FF"/>
                <w:sz w:val="32"/>
                <w:szCs w:val="32"/>
              </w:rPr>
              <w:t>8</w:t>
            </w:r>
          </w:p>
        </w:tc>
        <w:tc>
          <w:tcPr>
            <w:tcW w:w="262" w:type="dxa"/>
            <w:tcBorders>
              <w:top w:val="nil"/>
              <w:left w:val="single" w:sz="18" w:space="0" w:color="auto"/>
              <w:bottom w:val="nil"/>
              <w:right w:val="nil"/>
            </w:tcBorders>
          </w:tcPr>
          <w:p w:rsidR="008E5011" w:rsidRDefault="008E5011" w:rsidP="00A42D5E">
            <w:pPr>
              <w:bidi w:val="0"/>
              <w:rPr>
                <w:b/>
                <w:bCs/>
              </w:rPr>
            </w:pPr>
          </w:p>
        </w:tc>
        <w:tc>
          <w:tcPr>
            <w:tcW w:w="2605" w:type="dxa"/>
            <w:tcBorders>
              <w:top w:val="nil"/>
              <w:left w:val="nil"/>
              <w:bottom w:val="nil"/>
              <w:right w:val="nil"/>
            </w:tcBorders>
          </w:tcPr>
          <w:p w:rsidR="008E5011" w:rsidRPr="00E03176" w:rsidRDefault="008E5011" w:rsidP="00A42D5E">
            <w:pPr>
              <w:bidi w:val="0"/>
              <w:jc w:val="left"/>
              <w:rPr>
                <w:b/>
                <w:bCs/>
                <w:szCs w:val="24"/>
              </w:rPr>
            </w:pPr>
            <w:r w:rsidRPr="00E03176">
              <w:rPr>
                <w:b/>
                <w:bCs/>
                <w:szCs w:val="24"/>
              </w:rPr>
              <w:t xml:space="preserve">Award Number </w:t>
            </w:r>
            <w:r>
              <w:rPr>
                <w:b/>
                <w:bCs/>
                <w:szCs w:val="24"/>
              </w:rPr>
              <w:t xml:space="preserve">          :</w:t>
            </w:r>
          </w:p>
        </w:tc>
        <w:tc>
          <w:tcPr>
            <w:tcW w:w="3736" w:type="dxa"/>
            <w:tcBorders>
              <w:top w:val="nil"/>
              <w:left w:val="nil"/>
              <w:bottom w:val="nil"/>
              <w:right w:val="nil"/>
            </w:tcBorders>
          </w:tcPr>
          <w:p w:rsidR="008E5011" w:rsidRPr="006B0778" w:rsidRDefault="008E5011" w:rsidP="00A42D5E">
            <w:pPr>
              <w:pStyle w:val="NormalWeb"/>
              <w:tabs>
                <w:tab w:val="left" w:pos="720"/>
                <w:tab w:val="center" w:pos="4153"/>
                <w:tab w:val="right" w:pos="8306"/>
              </w:tabs>
              <w:jc w:val="both"/>
            </w:pPr>
            <w:r>
              <w:t>353</w:t>
            </w:r>
            <w:r w:rsidRPr="006B0778">
              <w:t>/42</w:t>
            </w:r>
            <w:r>
              <w:t>8</w:t>
            </w:r>
          </w:p>
        </w:tc>
      </w:tr>
      <w:tr w:rsidR="008E5011" w:rsidRPr="0082040A" w:rsidTr="00A42D5E">
        <w:trPr>
          <w:trHeight w:val="555"/>
        </w:trPr>
        <w:tc>
          <w:tcPr>
            <w:tcW w:w="596" w:type="dxa"/>
            <w:tcBorders>
              <w:top w:val="single" w:sz="18" w:space="0" w:color="auto"/>
              <w:left w:val="nil"/>
              <w:bottom w:val="nil"/>
              <w:right w:val="nil"/>
            </w:tcBorders>
            <w:vAlign w:val="center"/>
          </w:tcPr>
          <w:p w:rsidR="008E5011" w:rsidRDefault="008E5011" w:rsidP="00A42D5E">
            <w:pPr>
              <w:bidi w:val="0"/>
            </w:pPr>
          </w:p>
        </w:tc>
        <w:tc>
          <w:tcPr>
            <w:tcW w:w="262" w:type="dxa"/>
            <w:tcBorders>
              <w:top w:val="nil"/>
              <w:left w:val="nil"/>
              <w:bottom w:val="nil"/>
              <w:right w:val="nil"/>
            </w:tcBorders>
          </w:tcPr>
          <w:p w:rsidR="008E5011" w:rsidRDefault="008E5011" w:rsidP="00A42D5E">
            <w:pPr>
              <w:bidi w:val="0"/>
              <w:rPr>
                <w:b/>
                <w:bCs/>
              </w:rPr>
            </w:pPr>
          </w:p>
        </w:tc>
        <w:tc>
          <w:tcPr>
            <w:tcW w:w="2605" w:type="dxa"/>
            <w:tcBorders>
              <w:top w:val="nil"/>
              <w:left w:val="nil"/>
              <w:bottom w:val="nil"/>
              <w:right w:val="nil"/>
            </w:tcBorders>
          </w:tcPr>
          <w:p w:rsidR="008E5011" w:rsidRPr="00E03176" w:rsidRDefault="008E5011" w:rsidP="00A42D5E">
            <w:pPr>
              <w:bidi w:val="0"/>
              <w:jc w:val="left"/>
              <w:rPr>
                <w:b/>
                <w:bCs/>
                <w:szCs w:val="24"/>
              </w:rPr>
            </w:pPr>
            <w:r w:rsidRPr="00E03176">
              <w:rPr>
                <w:b/>
                <w:bCs/>
                <w:szCs w:val="24"/>
              </w:rPr>
              <w:t>Project Title</w:t>
            </w:r>
            <w:r>
              <w:rPr>
                <w:b/>
                <w:bCs/>
                <w:szCs w:val="24"/>
              </w:rPr>
              <w:t xml:space="preserve">                 :</w:t>
            </w:r>
          </w:p>
        </w:tc>
        <w:tc>
          <w:tcPr>
            <w:tcW w:w="3736" w:type="dxa"/>
            <w:tcBorders>
              <w:top w:val="nil"/>
              <w:left w:val="nil"/>
              <w:bottom w:val="nil"/>
              <w:right w:val="nil"/>
            </w:tcBorders>
          </w:tcPr>
          <w:p w:rsidR="008E5011" w:rsidRPr="006B0778" w:rsidRDefault="008E5011" w:rsidP="00A42D5E">
            <w:pPr>
              <w:bidi w:val="0"/>
              <w:jc w:val="both"/>
              <w:rPr>
                <w:rFonts w:cs="Times New Roman"/>
                <w:szCs w:val="24"/>
              </w:rPr>
            </w:pPr>
            <w:r w:rsidRPr="00565204">
              <w:rPr>
                <w:rFonts w:cs="Times New Roman"/>
                <w:szCs w:val="24"/>
              </w:rPr>
              <w:t xml:space="preserve">Directions of </w:t>
            </w:r>
            <w:r>
              <w:rPr>
                <w:rFonts w:cs="Times New Roman"/>
                <w:szCs w:val="24"/>
              </w:rPr>
              <w:t>e</w:t>
            </w:r>
            <w:r w:rsidRPr="00565204">
              <w:rPr>
                <w:rFonts w:cs="Times New Roman"/>
                <w:szCs w:val="24"/>
              </w:rPr>
              <w:t xml:space="preserve">xpenditure on </w:t>
            </w:r>
            <w:r>
              <w:rPr>
                <w:rFonts w:cs="Times New Roman"/>
                <w:szCs w:val="24"/>
              </w:rPr>
              <w:t>h</w:t>
            </w:r>
            <w:r w:rsidRPr="00565204">
              <w:rPr>
                <w:rFonts w:cs="Times New Roman"/>
                <w:szCs w:val="24"/>
              </w:rPr>
              <w:t>ig</w:t>
            </w:r>
            <w:r>
              <w:rPr>
                <w:rFonts w:cs="Times New Roman"/>
                <w:szCs w:val="24"/>
              </w:rPr>
              <w:t xml:space="preserve">her education in Saudi </w:t>
            </w:r>
            <w:r w:rsidRPr="00565204">
              <w:rPr>
                <w:rFonts w:cs="Times New Roman"/>
                <w:szCs w:val="24"/>
              </w:rPr>
              <w:t xml:space="preserve">Arabia and  Yemen: A </w:t>
            </w:r>
            <w:r>
              <w:rPr>
                <w:rFonts w:cs="Times New Roman"/>
                <w:szCs w:val="24"/>
              </w:rPr>
              <w:t>c</w:t>
            </w:r>
            <w:r w:rsidRPr="00565204">
              <w:rPr>
                <w:rFonts w:cs="Times New Roman"/>
                <w:szCs w:val="24"/>
              </w:rPr>
              <w:t xml:space="preserve">omparative </w:t>
            </w:r>
            <w:r>
              <w:rPr>
                <w:rFonts w:cs="Times New Roman"/>
                <w:szCs w:val="24"/>
              </w:rPr>
              <w:t>s</w:t>
            </w:r>
            <w:r w:rsidRPr="00565204">
              <w:rPr>
                <w:rFonts w:cs="Times New Roman"/>
                <w:szCs w:val="24"/>
              </w:rPr>
              <w:t>tudy</w:t>
            </w:r>
          </w:p>
        </w:tc>
      </w:tr>
      <w:tr w:rsidR="008E5011" w:rsidTr="00A42D5E">
        <w:trPr>
          <w:trHeight w:val="285"/>
        </w:trPr>
        <w:tc>
          <w:tcPr>
            <w:tcW w:w="596" w:type="dxa"/>
            <w:tcBorders>
              <w:top w:val="nil"/>
              <w:left w:val="nil"/>
              <w:bottom w:val="nil"/>
              <w:right w:val="nil"/>
            </w:tcBorders>
          </w:tcPr>
          <w:p w:rsidR="008E5011" w:rsidRDefault="008E5011" w:rsidP="00A42D5E">
            <w:pPr>
              <w:bidi w:val="0"/>
              <w:rPr>
                <w:b/>
                <w:bCs/>
              </w:rPr>
            </w:pPr>
          </w:p>
        </w:tc>
        <w:tc>
          <w:tcPr>
            <w:tcW w:w="262" w:type="dxa"/>
            <w:tcBorders>
              <w:top w:val="nil"/>
              <w:left w:val="nil"/>
              <w:bottom w:val="nil"/>
              <w:right w:val="nil"/>
            </w:tcBorders>
          </w:tcPr>
          <w:p w:rsidR="008E5011" w:rsidRDefault="008E5011" w:rsidP="00A42D5E">
            <w:pPr>
              <w:bidi w:val="0"/>
              <w:rPr>
                <w:b/>
                <w:bCs/>
              </w:rPr>
            </w:pPr>
          </w:p>
        </w:tc>
        <w:tc>
          <w:tcPr>
            <w:tcW w:w="2605" w:type="dxa"/>
            <w:tcBorders>
              <w:top w:val="nil"/>
              <w:left w:val="nil"/>
              <w:bottom w:val="nil"/>
              <w:right w:val="nil"/>
            </w:tcBorders>
          </w:tcPr>
          <w:p w:rsidR="008E5011" w:rsidRPr="00E03176" w:rsidRDefault="008E5011" w:rsidP="00A42D5E">
            <w:pPr>
              <w:bidi w:val="0"/>
              <w:jc w:val="left"/>
              <w:rPr>
                <w:b/>
                <w:bCs/>
                <w:szCs w:val="24"/>
              </w:rPr>
            </w:pPr>
            <w:r w:rsidRPr="00E03176">
              <w:rPr>
                <w:b/>
                <w:bCs/>
                <w:szCs w:val="24"/>
              </w:rPr>
              <w:t>Principal Investigator</w:t>
            </w:r>
            <w:r>
              <w:rPr>
                <w:b/>
                <w:bCs/>
                <w:szCs w:val="24"/>
              </w:rPr>
              <w:t xml:space="preserve"> :</w:t>
            </w:r>
          </w:p>
        </w:tc>
        <w:tc>
          <w:tcPr>
            <w:tcW w:w="3736" w:type="dxa"/>
            <w:tcBorders>
              <w:top w:val="nil"/>
              <w:left w:val="nil"/>
              <w:bottom w:val="nil"/>
              <w:right w:val="nil"/>
            </w:tcBorders>
          </w:tcPr>
          <w:p w:rsidR="008E5011" w:rsidRPr="006B0778" w:rsidRDefault="008E5011" w:rsidP="00A42D5E">
            <w:pPr>
              <w:bidi w:val="0"/>
              <w:jc w:val="both"/>
              <w:rPr>
                <w:rFonts w:cs="Times New Roman"/>
                <w:szCs w:val="24"/>
              </w:rPr>
            </w:pPr>
            <w:r w:rsidRPr="00015557">
              <w:rPr>
                <w:rFonts w:cs="Times New Roman"/>
                <w:szCs w:val="24"/>
              </w:rPr>
              <w:t xml:space="preserve">Dr. </w:t>
            </w:r>
            <w:proofErr w:type="spellStart"/>
            <w:r>
              <w:rPr>
                <w:rFonts w:cs="Times New Roman"/>
                <w:szCs w:val="24"/>
              </w:rPr>
              <w:t>Hamad</w:t>
            </w:r>
            <w:proofErr w:type="spellEnd"/>
            <w:r>
              <w:rPr>
                <w:rFonts w:cs="Times New Roman"/>
                <w:szCs w:val="24"/>
              </w:rPr>
              <w:t xml:space="preserve"> </w:t>
            </w:r>
            <w:proofErr w:type="spellStart"/>
            <w:r>
              <w:rPr>
                <w:rFonts w:cs="Times New Roman"/>
                <w:szCs w:val="24"/>
              </w:rPr>
              <w:t>Saleh</w:t>
            </w:r>
            <w:proofErr w:type="spellEnd"/>
            <w:r>
              <w:rPr>
                <w:rFonts w:cs="Times New Roman"/>
                <w:szCs w:val="24"/>
              </w:rPr>
              <w:t xml:space="preserve"> Al-</w:t>
            </w:r>
            <w:proofErr w:type="spellStart"/>
            <w:r>
              <w:rPr>
                <w:rFonts w:cs="Times New Roman"/>
                <w:szCs w:val="24"/>
              </w:rPr>
              <w:t>Tasan</w:t>
            </w:r>
            <w:proofErr w:type="spellEnd"/>
          </w:p>
        </w:tc>
      </w:tr>
      <w:tr w:rsidR="008E5011" w:rsidTr="00A42D5E">
        <w:trPr>
          <w:trHeight w:val="67"/>
        </w:trPr>
        <w:tc>
          <w:tcPr>
            <w:tcW w:w="596" w:type="dxa"/>
            <w:tcBorders>
              <w:top w:val="nil"/>
              <w:left w:val="nil"/>
              <w:right w:val="nil"/>
            </w:tcBorders>
          </w:tcPr>
          <w:p w:rsidR="008E5011" w:rsidRDefault="008E5011" w:rsidP="00A42D5E">
            <w:pPr>
              <w:bidi w:val="0"/>
              <w:rPr>
                <w:b/>
                <w:bCs/>
              </w:rPr>
            </w:pPr>
          </w:p>
        </w:tc>
        <w:tc>
          <w:tcPr>
            <w:tcW w:w="262" w:type="dxa"/>
            <w:tcBorders>
              <w:top w:val="nil"/>
              <w:left w:val="nil"/>
              <w:right w:val="nil"/>
            </w:tcBorders>
          </w:tcPr>
          <w:p w:rsidR="008E5011" w:rsidRDefault="008E5011" w:rsidP="00A42D5E">
            <w:pPr>
              <w:bidi w:val="0"/>
              <w:rPr>
                <w:b/>
                <w:bCs/>
              </w:rPr>
            </w:pPr>
          </w:p>
        </w:tc>
        <w:tc>
          <w:tcPr>
            <w:tcW w:w="2605" w:type="dxa"/>
            <w:tcBorders>
              <w:top w:val="nil"/>
              <w:left w:val="nil"/>
              <w:right w:val="nil"/>
            </w:tcBorders>
          </w:tcPr>
          <w:p w:rsidR="008E5011" w:rsidRPr="00E03176" w:rsidRDefault="008E5011" w:rsidP="00A42D5E">
            <w:pPr>
              <w:bidi w:val="0"/>
              <w:jc w:val="left"/>
              <w:rPr>
                <w:b/>
                <w:bCs/>
                <w:szCs w:val="24"/>
              </w:rPr>
            </w:pPr>
            <w:r w:rsidRPr="00E03176">
              <w:rPr>
                <w:b/>
                <w:bCs/>
                <w:szCs w:val="24"/>
              </w:rPr>
              <w:t>Co-Investigator</w:t>
            </w:r>
            <w:r>
              <w:rPr>
                <w:b/>
                <w:bCs/>
                <w:szCs w:val="24"/>
              </w:rPr>
              <w:t xml:space="preserve">           :</w:t>
            </w:r>
          </w:p>
        </w:tc>
        <w:tc>
          <w:tcPr>
            <w:tcW w:w="3736" w:type="dxa"/>
            <w:tcBorders>
              <w:top w:val="nil"/>
              <w:left w:val="nil"/>
              <w:bottom w:val="nil"/>
              <w:right w:val="nil"/>
            </w:tcBorders>
          </w:tcPr>
          <w:p w:rsidR="008E5011" w:rsidRDefault="008E5011" w:rsidP="00A42D5E">
            <w:pPr>
              <w:bidi w:val="0"/>
              <w:jc w:val="both"/>
              <w:rPr>
                <w:rFonts w:cs="Times New Roman"/>
                <w:szCs w:val="24"/>
              </w:rPr>
            </w:pPr>
            <w:r>
              <w:rPr>
                <w:rFonts w:cs="Times New Roman"/>
                <w:szCs w:val="24"/>
              </w:rPr>
              <w:t xml:space="preserve">Dr. Omar </w:t>
            </w:r>
            <w:proofErr w:type="spellStart"/>
            <w:r>
              <w:rPr>
                <w:rFonts w:cs="Times New Roman"/>
                <w:szCs w:val="24"/>
              </w:rPr>
              <w:t>Saeed</w:t>
            </w:r>
            <w:proofErr w:type="spellEnd"/>
            <w:r>
              <w:rPr>
                <w:rFonts w:cs="Times New Roman"/>
                <w:szCs w:val="24"/>
              </w:rPr>
              <w:t xml:space="preserve"> </w:t>
            </w:r>
            <w:proofErr w:type="spellStart"/>
            <w:r>
              <w:rPr>
                <w:rFonts w:cs="Times New Roman"/>
                <w:szCs w:val="24"/>
              </w:rPr>
              <w:t>Mufleh</w:t>
            </w:r>
            <w:proofErr w:type="spellEnd"/>
          </w:p>
          <w:p w:rsidR="008E5011" w:rsidRPr="006B0778" w:rsidRDefault="008E5011" w:rsidP="00A42D5E">
            <w:pPr>
              <w:bidi w:val="0"/>
              <w:jc w:val="both"/>
              <w:rPr>
                <w:rFonts w:cs="Times New Roman"/>
                <w:szCs w:val="24"/>
              </w:rPr>
            </w:pPr>
            <w:r>
              <w:rPr>
                <w:rFonts w:cs="Times New Roman"/>
                <w:szCs w:val="24"/>
              </w:rPr>
              <w:t xml:space="preserve">Dr. Mohammed Omar </w:t>
            </w:r>
            <w:proofErr w:type="spellStart"/>
            <w:r>
              <w:rPr>
                <w:rFonts w:cs="Times New Roman"/>
                <w:szCs w:val="24"/>
              </w:rPr>
              <w:t>Botawih</w:t>
            </w:r>
            <w:proofErr w:type="spellEnd"/>
          </w:p>
        </w:tc>
      </w:tr>
      <w:tr w:rsidR="008E5011" w:rsidTr="00A42D5E">
        <w:trPr>
          <w:trHeight w:val="331"/>
        </w:trPr>
        <w:tc>
          <w:tcPr>
            <w:tcW w:w="596" w:type="dxa"/>
            <w:tcBorders>
              <w:top w:val="nil"/>
              <w:left w:val="nil"/>
              <w:bottom w:val="nil"/>
              <w:right w:val="nil"/>
            </w:tcBorders>
          </w:tcPr>
          <w:p w:rsidR="008E5011" w:rsidRDefault="008E5011" w:rsidP="00A42D5E">
            <w:pPr>
              <w:bidi w:val="0"/>
              <w:rPr>
                <w:b/>
                <w:bCs/>
              </w:rPr>
            </w:pPr>
          </w:p>
        </w:tc>
        <w:tc>
          <w:tcPr>
            <w:tcW w:w="262" w:type="dxa"/>
            <w:tcBorders>
              <w:top w:val="nil"/>
              <w:left w:val="nil"/>
              <w:bottom w:val="nil"/>
              <w:right w:val="nil"/>
            </w:tcBorders>
          </w:tcPr>
          <w:p w:rsidR="008E5011" w:rsidRDefault="008E5011" w:rsidP="00A42D5E">
            <w:pPr>
              <w:bidi w:val="0"/>
              <w:rPr>
                <w:b/>
                <w:bCs/>
              </w:rPr>
            </w:pPr>
          </w:p>
        </w:tc>
        <w:tc>
          <w:tcPr>
            <w:tcW w:w="2605" w:type="dxa"/>
            <w:tcBorders>
              <w:top w:val="nil"/>
              <w:left w:val="nil"/>
              <w:bottom w:val="nil"/>
              <w:right w:val="nil"/>
            </w:tcBorders>
          </w:tcPr>
          <w:p w:rsidR="008E5011" w:rsidRPr="00E03176" w:rsidRDefault="008E5011" w:rsidP="00A42D5E">
            <w:pPr>
              <w:bidi w:val="0"/>
              <w:jc w:val="left"/>
              <w:rPr>
                <w:b/>
                <w:bCs/>
                <w:szCs w:val="24"/>
              </w:rPr>
            </w:pPr>
            <w:r w:rsidRPr="00E03176">
              <w:rPr>
                <w:b/>
                <w:bCs/>
                <w:szCs w:val="24"/>
              </w:rPr>
              <w:t>Job Address</w:t>
            </w:r>
            <w:r>
              <w:rPr>
                <w:b/>
                <w:bCs/>
                <w:szCs w:val="24"/>
              </w:rPr>
              <w:t xml:space="preserve">                 :</w:t>
            </w:r>
          </w:p>
        </w:tc>
        <w:tc>
          <w:tcPr>
            <w:tcW w:w="3736" w:type="dxa"/>
            <w:tcBorders>
              <w:top w:val="nil"/>
              <w:left w:val="nil"/>
              <w:bottom w:val="nil"/>
              <w:right w:val="nil"/>
            </w:tcBorders>
          </w:tcPr>
          <w:p w:rsidR="008E5011" w:rsidRPr="006B0778" w:rsidRDefault="008E5011" w:rsidP="00A42D5E">
            <w:pPr>
              <w:bidi w:val="0"/>
              <w:rPr>
                <w:szCs w:val="24"/>
              </w:rPr>
            </w:pPr>
            <w:r w:rsidRPr="006B0778">
              <w:rPr>
                <w:szCs w:val="24"/>
              </w:rPr>
              <w:t>Faculty of</w:t>
            </w:r>
            <w:r w:rsidRPr="006B0778">
              <w:rPr>
                <w:rFonts w:cs="Akhbar MT"/>
                <w:szCs w:val="24"/>
              </w:rPr>
              <w:t xml:space="preserve"> </w:t>
            </w:r>
            <w:r>
              <w:rPr>
                <w:rFonts w:cs="Akhbar MT"/>
                <w:szCs w:val="24"/>
              </w:rPr>
              <w:t>Economics and Administration</w:t>
            </w:r>
          </w:p>
        </w:tc>
      </w:tr>
      <w:tr w:rsidR="008E5011" w:rsidTr="00A42D5E">
        <w:trPr>
          <w:trHeight w:val="315"/>
        </w:trPr>
        <w:tc>
          <w:tcPr>
            <w:tcW w:w="596" w:type="dxa"/>
            <w:tcBorders>
              <w:top w:val="nil"/>
              <w:left w:val="nil"/>
              <w:bottom w:val="nil"/>
              <w:right w:val="nil"/>
            </w:tcBorders>
          </w:tcPr>
          <w:p w:rsidR="008E5011" w:rsidRDefault="008E5011" w:rsidP="00A42D5E">
            <w:pPr>
              <w:bidi w:val="0"/>
              <w:rPr>
                <w:b/>
                <w:bCs/>
              </w:rPr>
            </w:pPr>
          </w:p>
        </w:tc>
        <w:tc>
          <w:tcPr>
            <w:tcW w:w="262" w:type="dxa"/>
            <w:tcBorders>
              <w:top w:val="nil"/>
              <w:left w:val="nil"/>
              <w:bottom w:val="nil"/>
              <w:right w:val="nil"/>
            </w:tcBorders>
          </w:tcPr>
          <w:p w:rsidR="008E5011" w:rsidRDefault="008E5011" w:rsidP="00A42D5E">
            <w:pPr>
              <w:bidi w:val="0"/>
              <w:rPr>
                <w:b/>
                <w:bCs/>
              </w:rPr>
            </w:pPr>
          </w:p>
        </w:tc>
        <w:tc>
          <w:tcPr>
            <w:tcW w:w="2605" w:type="dxa"/>
            <w:tcBorders>
              <w:top w:val="nil"/>
              <w:left w:val="nil"/>
              <w:bottom w:val="nil"/>
              <w:right w:val="nil"/>
            </w:tcBorders>
          </w:tcPr>
          <w:p w:rsidR="008E5011" w:rsidRPr="00E03176" w:rsidRDefault="008E5011" w:rsidP="00A42D5E">
            <w:pPr>
              <w:bidi w:val="0"/>
              <w:jc w:val="left"/>
              <w:rPr>
                <w:b/>
                <w:bCs/>
                <w:szCs w:val="24"/>
              </w:rPr>
            </w:pPr>
            <w:r w:rsidRPr="00E03176">
              <w:rPr>
                <w:b/>
                <w:bCs/>
                <w:szCs w:val="24"/>
              </w:rPr>
              <w:t>Duration</w:t>
            </w:r>
            <w:r>
              <w:rPr>
                <w:b/>
                <w:bCs/>
                <w:szCs w:val="24"/>
              </w:rPr>
              <w:t xml:space="preserve">                       :</w:t>
            </w:r>
          </w:p>
        </w:tc>
        <w:tc>
          <w:tcPr>
            <w:tcW w:w="3736" w:type="dxa"/>
            <w:tcBorders>
              <w:top w:val="nil"/>
              <w:left w:val="nil"/>
              <w:bottom w:val="nil"/>
              <w:right w:val="nil"/>
            </w:tcBorders>
          </w:tcPr>
          <w:p w:rsidR="008E5011" w:rsidRPr="006B0778" w:rsidRDefault="008E5011" w:rsidP="00A42D5E">
            <w:pPr>
              <w:bidi w:val="0"/>
              <w:rPr>
                <w:szCs w:val="24"/>
              </w:rPr>
            </w:pPr>
            <w:r>
              <w:rPr>
                <w:szCs w:val="24"/>
              </w:rPr>
              <w:t>9</w:t>
            </w:r>
            <w:r w:rsidRPr="006B0778">
              <w:rPr>
                <w:szCs w:val="24"/>
              </w:rPr>
              <w:t xml:space="preserve"> Months</w:t>
            </w:r>
          </w:p>
        </w:tc>
      </w:tr>
      <w:tr w:rsidR="008E5011" w:rsidTr="00A42D5E">
        <w:trPr>
          <w:trHeight w:val="546"/>
        </w:trPr>
        <w:tc>
          <w:tcPr>
            <w:tcW w:w="596" w:type="dxa"/>
            <w:tcBorders>
              <w:top w:val="nil"/>
              <w:left w:val="nil"/>
              <w:bottom w:val="nil"/>
              <w:right w:val="nil"/>
            </w:tcBorders>
          </w:tcPr>
          <w:p w:rsidR="008E5011" w:rsidRDefault="008E5011" w:rsidP="00A42D5E">
            <w:pPr>
              <w:bidi w:val="0"/>
              <w:spacing w:before="240"/>
              <w:rPr>
                <w:b/>
                <w:bCs/>
              </w:rPr>
            </w:pPr>
          </w:p>
        </w:tc>
        <w:tc>
          <w:tcPr>
            <w:tcW w:w="6603" w:type="dxa"/>
            <w:gridSpan w:val="3"/>
            <w:tcBorders>
              <w:top w:val="nil"/>
              <w:left w:val="nil"/>
              <w:bottom w:val="nil"/>
              <w:right w:val="nil"/>
            </w:tcBorders>
          </w:tcPr>
          <w:p w:rsidR="008E5011" w:rsidRPr="00FB1BB9" w:rsidRDefault="008E5011" w:rsidP="00A42D5E">
            <w:pPr>
              <w:pStyle w:val="Heading6"/>
              <w:bidi w:val="0"/>
            </w:pPr>
            <w:r>
              <w:t>Abstract</w:t>
            </w:r>
          </w:p>
        </w:tc>
      </w:tr>
    </w:tbl>
    <w:p w:rsidR="008E5011" w:rsidRDefault="008E5011" w:rsidP="008E5011">
      <w:pPr>
        <w:bidi w:val="0"/>
        <w:spacing w:before="240" w:after="100" w:afterAutospacing="1"/>
        <w:rPr>
          <w:rFonts w:cs="Times New Roman"/>
          <w:color w:val="000000"/>
          <w:lang w:eastAsia="en-US"/>
        </w:rPr>
      </w:pPr>
      <w:r>
        <w:rPr>
          <w:rFonts w:cs="Times New Roman"/>
          <w:color w:val="000000"/>
          <w:szCs w:val="24"/>
        </w:rPr>
        <w:tab/>
      </w:r>
      <w:r w:rsidRPr="00D9690D">
        <w:rPr>
          <w:rFonts w:cs="Times New Roman"/>
          <w:color w:val="000000"/>
          <w:lang w:eastAsia="en-US"/>
        </w:rPr>
        <w:t>Expenditure on higher education plays a vital role in solving the problems of society and meeting its basic needs and in achieving the objectives of the socio-economic plans of the country. It also contributes to fulfilling the requirements of the labor market of different specializations and disciplines.</w:t>
      </w:r>
      <w:r>
        <w:rPr>
          <w:rFonts w:cs="Times New Roman"/>
          <w:color w:val="000000"/>
          <w:lang w:eastAsia="en-US"/>
        </w:rPr>
        <w:t xml:space="preserve"> </w:t>
      </w:r>
    </w:p>
    <w:p w:rsidR="007330C6" w:rsidRDefault="008E5011" w:rsidP="007330C6">
      <w:pPr>
        <w:bidi w:val="0"/>
        <w:spacing w:before="240" w:after="100" w:afterAutospacing="1"/>
        <w:rPr>
          <w:rFonts w:cs="Times New Roman"/>
          <w:szCs w:val="24"/>
        </w:rPr>
      </w:pPr>
      <w:r w:rsidRPr="00D9690D">
        <w:rPr>
          <w:rFonts w:cs="Times New Roman"/>
          <w:color w:val="000000"/>
          <w:lang w:eastAsia="en-US"/>
        </w:rPr>
        <w:t>Since the current trends of expenditure on higher education in most of the Arab higher education institutions do not contribute much to their academic, administrative and financial autonomy as well as building a sound academic infrastructure, such institutions are unable to satisfy higher education standards matching other higher education standards, particularly in developed countries. Within this context, expenditure on higher education should be linked to the objectives of higher education institutions. This research aims at studying and analyzing the trends of expenditure on higher education in selected Saudi and Yemeni universities within the period 1996 – 2005. The study includes</w:t>
      </w:r>
      <w:r w:rsidR="007330C6">
        <w:rPr>
          <w:rFonts w:cs="Times New Roman"/>
          <w:color w:val="000000"/>
          <w:lang w:eastAsia="en-US"/>
        </w:rPr>
        <w:t xml:space="preserve"> </w:t>
      </w:r>
      <w:r w:rsidR="007330C6" w:rsidRPr="00D9690D">
        <w:rPr>
          <w:rFonts w:cs="Times New Roman"/>
          <w:color w:val="000000"/>
          <w:lang w:eastAsia="en-US"/>
        </w:rPr>
        <w:t>comparisons of expenditures in the two above – mentioned types of higher education institutions, pertaining to their educational policies and financial resources. The research also aims at suggesting the strategies and tools to utilize expenditure levels and distributions to achieve the objectives of the concerned higher education institutions.</w:t>
      </w:r>
    </w:p>
    <w:p w:rsidR="00894D94" w:rsidRPr="007330C6" w:rsidRDefault="00894D94" w:rsidP="007330C6">
      <w:pPr>
        <w:jc w:val="right"/>
      </w:pPr>
    </w:p>
    <w:sectPr w:rsidR="00894D94" w:rsidRPr="007330C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C76"/>
    <w:rsid w:val="007330C6"/>
    <w:rsid w:val="00894D94"/>
    <w:rsid w:val="008E5011"/>
    <w:rsid w:val="00A52DE1"/>
    <w:rsid w:val="00A76C7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7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76C7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76C76"/>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8E501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E50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C7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76C7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8E5011"/>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8E5011"/>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8E501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E50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kaudsr</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2010-04-21T08:12:00Z</dcterms:created>
  <dcterms:modified xsi:type="dcterms:W3CDTF">2010-04-21T08:14:00Z</dcterms:modified>
</cp:coreProperties>
</file>