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42A" w:rsidRDefault="00C7342A" w:rsidP="00C7342A">
      <w:pPr>
        <w:ind w:left="840"/>
        <w:rPr>
          <w:rFonts w:hint="cs"/>
          <w:sz w:val="28"/>
          <w:rtl/>
        </w:rPr>
      </w:pPr>
    </w:p>
    <w:p w:rsidR="00C7342A" w:rsidRPr="00CC3324" w:rsidRDefault="00C7342A" w:rsidP="00C7342A">
      <w:pPr>
        <w:pStyle w:val="Heading1"/>
        <w:rPr>
          <w:color w:val="0000FF"/>
          <w:rtl/>
        </w:rPr>
      </w:pPr>
      <w:r>
        <w:rPr>
          <w:rFonts w:hint="cs"/>
          <w:color w:val="0000FF"/>
          <w:rtl/>
        </w:rPr>
        <w:t>العلوم الطبيعية</w:t>
      </w:r>
    </w:p>
    <w:p w:rsidR="00C7342A" w:rsidRPr="00226A9E" w:rsidRDefault="00222720" w:rsidP="00C7342A">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C7342A">
        <w:rPr>
          <w:rFonts w:hint="cs"/>
          <w:rtl/>
        </w:rPr>
        <w:t>فيزياء</w:t>
      </w:r>
    </w:p>
    <w:p w:rsidR="00C7342A" w:rsidRPr="00226A9E" w:rsidRDefault="00C7342A" w:rsidP="00C7342A">
      <w:pPr>
        <w:pStyle w:val="Heading3"/>
        <w:rPr>
          <w:sz w:val="28"/>
          <w:rtl/>
        </w:rPr>
      </w:pPr>
      <w:r>
        <w:rPr>
          <w:rFonts w:hint="cs"/>
          <w:sz w:val="28"/>
          <w:rtl/>
        </w:rPr>
        <w:t xml:space="preserve">إنماء بلوري </w:t>
      </w:r>
      <w:r>
        <w:rPr>
          <w:sz w:val="28"/>
          <w:rtl/>
        </w:rPr>
        <w:t>–</w:t>
      </w:r>
      <w:r>
        <w:rPr>
          <w:rFonts w:hint="cs"/>
          <w:sz w:val="28"/>
          <w:rtl/>
        </w:rPr>
        <w:t xml:space="preserve"> شبة موصلات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C7342A" w:rsidRPr="00EB4E57" w:rsidTr="003552CA">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C7342A" w:rsidRPr="00AA194D" w:rsidRDefault="00C7342A" w:rsidP="003552CA">
            <w:pPr>
              <w:jc w:val="center"/>
              <w:rPr>
                <w:b/>
                <w:bCs/>
                <w:color w:val="0000FF"/>
                <w:sz w:val="32"/>
                <w:szCs w:val="32"/>
              </w:rPr>
            </w:pPr>
            <w:r>
              <w:rPr>
                <w:rFonts w:hint="cs"/>
                <w:b/>
                <w:bCs/>
                <w:color w:val="0000FF"/>
                <w:sz w:val="32"/>
                <w:szCs w:val="32"/>
                <w:rtl/>
              </w:rPr>
              <w:t>64</w:t>
            </w:r>
          </w:p>
        </w:tc>
        <w:tc>
          <w:tcPr>
            <w:tcW w:w="236" w:type="dxa"/>
            <w:tcBorders>
              <w:top w:val="nil"/>
              <w:left w:val="single" w:sz="12" w:space="0" w:color="auto"/>
              <w:bottom w:val="nil"/>
              <w:right w:val="nil"/>
            </w:tcBorders>
          </w:tcPr>
          <w:p w:rsidR="00C7342A" w:rsidRPr="00EB4E57" w:rsidRDefault="00C7342A" w:rsidP="003552CA">
            <w:pPr>
              <w:jc w:val="both"/>
              <w:rPr>
                <w:b/>
                <w:bCs/>
              </w:rPr>
            </w:pPr>
          </w:p>
        </w:tc>
        <w:tc>
          <w:tcPr>
            <w:tcW w:w="2087" w:type="dxa"/>
            <w:tcBorders>
              <w:top w:val="nil"/>
              <w:left w:val="nil"/>
              <w:bottom w:val="nil"/>
              <w:right w:val="nil"/>
            </w:tcBorders>
          </w:tcPr>
          <w:p w:rsidR="00C7342A" w:rsidRPr="00006DAB" w:rsidRDefault="00C7342A" w:rsidP="003552CA">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C7342A" w:rsidRPr="00226A9E" w:rsidRDefault="00C7342A" w:rsidP="003552CA">
            <w:r>
              <w:rPr>
                <w:rFonts w:hint="cs"/>
                <w:rtl/>
              </w:rPr>
              <w:t>158</w:t>
            </w:r>
            <w:r w:rsidRPr="00226A9E">
              <w:rPr>
                <w:rtl/>
              </w:rPr>
              <w:t>/42</w:t>
            </w:r>
            <w:r>
              <w:rPr>
                <w:rFonts w:hint="cs"/>
                <w:rtl/>
              </w:rPr>
              <w:t>8</w:t>
            </w:r>
          </w:p>
        </w:tc>
      </w:tr>
      <w:tr w:rsidR="00C7342A" w:rsidRPr="00B61E72" w:rsidTr="003552CA">
        <w:trPr>
          <w:cantSplit/>
          <w:trHeight w:val="1306"/>
        </w:trPr>
        <w:tc>
          <w:tcPr>
            <w:tcW w:w="653" w:type="dxa"/>
            <w:tcBorders>
              <w:top w:val="single" w:sz="12" w:space="0" w:color="auto"/>
              <w:left w:val="nil"/>
              <w:bottom w:val="nil"/>
              <w:right w:val="nil"/>
            </w:tcBorders>
            <w:vAlign w:val="center"/>
          </w:tcPr>
          <w:p w:rsidR="00C7342A" w:rsidRPr="00EB4E57" w:rsidRDefault="00C7342A" w:rsidP="003552CA"/>
        </w:tc>
        <w:tc>
          <w:tcPr>
            <w:tcW w:w="236" w:type="dxa"/>
            <w:tcBorders>
              <w:top w:val="nil"/>
              <w:left w:val="nil"/>
              <w:bottom w:val="nil"/>
              <w:right w:val="nil"/>
            </w:tcBorders>
          </w:tcPr>
          <w:p w:rsidR="00C7342A" w:rsidRPr="00EB4E57" w:rsidRDefault="00C7342A" w:rsidP="003552CA">
            <w:pPr>
              <w:jc w:val="both"/>
              <w:rPr>
                <w:b/>
                <w:bCs/>
              </w:rPr>
            </w:pPr>
          </w:p>
        </w:tc>
        <w:tc>
          <w:tcPr>
            <w:tcW w:w="2087" w:type="dxa"/>
            <w:tcBorders>
              <w:top w:val="nil"/>
              <w:left w:val="nil"/>
              <w:bottom w:val="nil"/>
              <w:right w:val="nil"/>
            </w:tcBorders>
          </w:tcPr>
          <w:p w:rsidR="00C7342A" w:rsidRPr="00006DAB" w:rsidRDefault="00C7342A" w:rsidP="003552CA">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C7342A" w:rsidRPr="002D5DB3" w:rsidRDefault="00C7342A" w:rsidP="003552CA">
            <w:pPr>
              <w:pStyle w:val="ListParagraph"/>
              <w:ind w:left="-9"/>
              <w:jc w:val="both"/>
              <w:rPr>
                <w:rFonts w:cs="Traditional Arabic"/>
                <w:sz w:val="28"/>
                <w:szCs w:val="28"/>
              </w:rPr>
            </w:pPr>
            <w:r w:rsidRPr="002D5DB3">
              <w:rPr>
                <w:rFonts w:cs="Traditional Arabic" w:hint="cs"/>
                <w:sz w:val="28"/>
                <w:szCs w:val="28"/>
                <w:rtl/>
              </w:rPr>
              <w:t xml:space="preserve">الإنماء البلوري وظاهرة المقاومة التفاضلية السالبة في شبه الموصل الثلاثي ثاليوم </w:t>
            </w:r>
            <w:r w:rsidRPr="002D5DB3">
              <w:rPr>
                <w:rFonts w:cs="Traditional Arabic"/>
                <w:sz w:val="28"/>
                <w:szCs w:val="28"/>
                <w:rtl/>
              </w:rPr>
              <w:t>–</w:t>
            </w:r>
            <w:r w:rsidRPr="002D5DB3">
              <w:rPr>
                <w:rFonts w:cs="Traditional Arabic" w:hint="cs"/>
                <w:sz w:val="28"/>
                <w:szCs w:val="28"/>
                <w:rtl/>
              </w:rPr>
              <w:t xml:space="preserve"> انديوم </w:t>
            </w:r>
            <w:r w:rsidRPr="002D5DB3">
              <w:rPr>
                <w:rFonts w:cs="Traditional Arabic"/>
                <w:sz w:val="28"/>
                <w:szCs w:val="28"/>
                <w:rtl/>
              </w:rPr>
              <w:t>–</w:t>
            </w:r>
            <w:r w:rsidRPr="002D5DB3">
              <w:rPr>
                <w:rFonts w:cs="Traditional Arabic" w:hint="cs"/>
                <w:sz w:val="28"/>
                <w:szCs w:val="28"/>
                <w:rtl/>
              </w:rPr>
              <w:t xml:space="preserve"> ثنائي التليريوم </w:t>
            </w:r>
            <w:r w:rsidRPr="002D5DB3">
              <w:rPr>
                <w:rFonts w:cs="Traditional Arabic"/>
                <w:sz w:val="28"/>
                <w:szCs w:val="28"/>
              </w:rPr>
              <w:t>Tl In Te</w:t>
            </w:r>
            <w:r w:rsidRPr="002D5DB3">
              <w:rPr>
                <w:rFonts w:cs="Traditional Arabic"/>
                <w:sz w:val="28"/>
                <w:szCs w:val="28"/>
                <w:vertAlign w:val="subscript"/>
              </w:rPr>
              <w:t>2</w:t>
            </w:r>
          </w:p>
        </w:tc>
      </w:tr>
      <w:tr w:rsidR="00C7342A" w:rsidRPr="00EB4E57" w:rsidTr="003552CA">
        <w:tc>
          <w:tcPr>
            <w:tcW w:w="653" w:type="dxa"/>
            <w:tcBorders>
              <w:top w:val="nil"/>
              <w:left w:val="nil"/>
              <w:bottom w:val="nil"/>
              <w:right w:val="nil"/>
            </w:tcBorders>
          </w:tcPr>
          <w:p w:rsidR="00C7342A" w:rsidRPr="00EB4E57" w:rsidRDefault="00C7342A" w:rsidP="003552CA">
            <w:pPr>
              <w:jc w:val="both"/>
              <w:rPr>
                <w:b/>
                <w:bCs/>
              </w:rPr>
            </w:pPr>
          </w:p>
        </w:tc>
        <w:tc>
          <w:tcPr>
            <w:tcW w:w="236" w:type="dxa"/>
            <w:tcBorders>
              <w:top w:val="nil"/>
              <w:left w:val="nil"/>
              <w:bottom w:val="nil"/>
              <w:right w:val="nil"/>
            </w:tcBorders>
          </w:tcPr>
          <w:p w:rsidR="00C7342A" w:rsidRPr="00EB4E57" w:rsidRDefault="00C7342A" w:rsidP="003552CA">
            <w:pPr>
              <w:jc w:val="both"/>
              <w:rPr>
                <w:b/>
                <w:bCs/>
              </w:rPr>
            </w:pPr>
          </w:p>
        </w:tc>
        <w:tc>
          <w:tcPr>
            <w:tcW w:w="2087" w:type="dxa"/>
            <w:tcBorders>
              <w:top w:val="nil"/>
              <w:left w:val="nil"/>
              <w:bottom w:val="nil"/>
              <w:right w:val="nil"/>
            </w:tcBorders>
          </w:tcPr>
          <w:p w:rsidR="00C7342A" w:rsidRPr="00006DAB" w:rsidRDefault="00C7342A" w:rsidP="003552CA">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C7342A" w:rsidRPr="00E82ACB" w:rsidRDefault="00C7342A" w:rsidP="003552CA">
            <w:pPr>
              <w:rPr>
                <w:sz w:val="28"/>
                <w:rtl/>
              </w:rPr>
            </w:pPr>
            <w:r w:rsidRPr="00364ACD">
              <w:rPr>
                <w:rFonts w:hint="cs"/>
                <w:sz w:val="28"/>
                <w:rtl/>
              </w:rPr>
              <w:t>أ.د. أحمد عبدا لل</w:t>
            </w:r>
            <w:r w:rsidRPr="00364ACD">
              <w:rPr>
                <w:rFonts w:hint="eastAsia"/>
                <w:sz w:val="28"/>
                <w:rtl/>
              </w:rPr>
              <w:t>ه</w:t>
            </w:r>
            <w:r w:rsidRPr="00364ACD">
              <w:rPr>
                <w:rFonts w:hint="cs"/>
                <w:sz w:val="28"/>
                <w:rtl/>
              </w:rPr>
              <w:t xml:space="preserve"> </w:t>
            </w:r>
            <w:r>
              <w:rPr>
                <w:rFonts w:hint="cs"/>
                <w:sz w:val="28"/>
                <w:rtl/>
              </w:rPr>
              <w:t>ا</w:t>
            </w:r>
            <w:r w:rsidRPr="00364ACD">
              <w:rPr>
                <w:rFonts w:hint="cs"/>
                <w:sz w:val="28"/>
                <w:rtl/>
              </w:rPr>
              <w:t>لغامدي</w:t>
            </w:r>
          </w:p>
        </w:tc>
      </w:tr>
      <w:tr w:rsidR="00C7342A" w:rsidRPr="00EB4E57" w:rsidTr="003552CA">
        <w:tc>
          <w:tcPr>
            <w:tcW w:w="653" w:type="dxa"/>
            <w:tcBorders>
              <w:top w:val="nil"/>
              <w:left w:val="nil"/>
              <w:bottom w:val="nil"/>
              <w:right w:val="nil"/>
            </w:tcBorders>
          </w:tcPr>
          <w:p w:rsidR="00C7342A" w:rsidRPr="00EB4E57" w:rsidRDefault="00C7342A" w:rsidP="003552CA">
            <w:pPr>
              <w:jc w:val="both"/>
              <w:rPr>
                <w:b/>
                <w:bCs/>
              </w:rPr>
            </w:pPr>
          </w:p>
        </w:tc>
        <w:tc>
          <w:tcPr>
            <w:tcW w:w="236" w:type="dxa"/>
            <w:tcBorders>
              <w:top w:val="nil"/>
              <w:left w:val="nil"/>
              <w:bottom w:val="nil"/>
              <w:right w:val="nil"/>
            </w:tcBorders>
          </w:tcPr>
          <w:p w:rsidR="00C7342A" w:rsidRPr="00EB4E57" w:rsidRDefault="00C7342A" w:rsidP="003552CA">
            <w:pPr>
              <w:jc w:val="both"/>
              <w:rPr>
                <w:b/>
                <w:bCs/>
              </w:rPr>
            </w:pPr>
          </w:p>
        </w:tc>
        <w:tc>
          <w:tcPr>
            <w:tcW w:w="2087" w:type="dxa"/>
            <w:tcBorders>
              <w:top w:val="nil"/>
              <w:left w:val="nil"/>
              <w:bottom w:val="nil"/>
              <w:right w:val="nil"/>
            </w:tcBorders>
          </w:tcPr>
          <w:p w:rsidR="00C7342A" w:rsidRPr="005438DD" w:rsidRDefault="00C7342A" w:rsidP="003552CA">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C7342A" w:rsidRDefault="00C7342A" w:rsidP="003552CA">
            <w:pPr>
              <w:rPr>
                <w:color w:val="FF0000"/>
                <w:sz w:val="28"/>
                <w:rtl/>
              </w:rPr>
            </w:pPr>
            <w:r w:rsidRPr="00F755BC">
              <w:rPr>
                <w:sz w:val="28"/>
                <w:rtl/>
              </w:rPr>
              <w:t xml:space="preserve">أ.د. </w:t>
            </w:r>
            <w:r>
              <w:rPr>
                <w:rFonts w:hint="cs"/>
                <w:sz w:val="28"/>
                <w:rtl/>
              </w:rPr>
              <w:t>نجات توفيق عباس</w:t>
            </w:r>
            <w:r w:rsidRPr="00AC6CEA">
              <w:rPr>
                <w:rFonts w:hint="cs"/>
                <w:color w:val="FF0000"/>
                <w:sz w:val="28"/>
                <w:rtl/>
              </w:rPr>
              <w:t xml:space="preserve"> </w:t>
            </w:r>
          </w:p>
          <w:p w:rsidR="00C7342A" w:rsidRPr="00B3259C" w:rsidRDefault="00C7342A" w:rsidP="003552CA">
            <w:pPr>
              <w:rPr>
                <w:color w:val="FF0000"/>
                <w:sz w:val="28"/>
                <w:rtl/>
              </w:rPr>
            </w:pPr>
            <w:r w:rsidRPr="00F755BC">
              <w:rPr>
                <w:sz w:val="28"/>
                <w:rtl/>
              </w:rPr>
              <w:t xml:space="preserve">د. </w:t>
            </w:r>
            <w:r>
              <w:rPr>
                <w:rFonts w:hint="cs"/>
                <w:sz w:val="28"/>
                <w:rtl/>
              </w:rPr>
              <w:t>فرج سعيد الحازمي</w:t>
            </w:r>
            <w:r>
              <w:rPr>
                <w:rFonts w:hint="cs"/>
                <w:color w:val="FF0000"/>
                <w:sz w:val="28"/>
                <w:rtl/>
              </w:rPr>
              <w:t xml:space="preserve"> </w:t>
            </w:r>
          </w:p>
        </w:tc>
      </w:tr>
      <w:tr w:rsidR="00C7342A" w:rsidRPr="00EB4E57" w:rsidTr="003552CA">
        <w:tc>
          <w:tcPr>
            <w:tcW w:w="653" w:type="dxa"/>
            <w:tcBorders>
              <w:top w:val="nil"/>
              <w:left w:val="nil"/>
              <w:bottom w:val="nil"/>
              <w:right w:val="nil"/>
            </w:tcBorders>
          </w:tcPr>
          <w:p w:rsidR="00C7342A" w:rsidRPr="00EB4E57" w:rsidRDefault="00C7342A" w:rsidP="003552CA">
            <w:pPr>
              <w:jc w:val="both"/>
              <w:rPr>
                <w:b/>
                <w:bCs/>
              </w:rPr>
            </w:pPr>
          </w:p>
        </w:tc>
        <w:tc>
          <w:tcPr>
            <w:tcW w:w="236" w:type="dxa"/>
            <w:tcBorders>
              <w:top w:val="nil"/>
              <w:left w:val="nil"/>
              <w:bottom w:val="nil"/>
              <w:right w:val="nil"/>
            </w:tcBorders>
          </w:tcPr>
          <w:p w:rsidR="00C7342A" w:rsidRPr="00EB4E57" w:rsidRDefault="00C7342A" w:rsidP="003552CA">
            <w:pPr>
              <w:jc w:val="both"/>
              <w:rPr>
                <w:b/>
                <w:bCs/>
              </w:rPr>
            </w:pPr>
          </w:p>
        </w:tc>
        <w:tc>
          <w:tcPr>
            <w:tcW w:w="2087" w:type="dxa"/>
            <w:tcBorders>
              <w:top w:val="nil"/>
              <w:left w:val="nil"/>
              <w:bottom w:val="nil"/>
              <w:right w:val="nil"/>
            </w:tcBorders>
          </w:tcPr>
          <w:p w:rsidR="00C7342A" w:rsidRPr="00006DAB" w:rsidRDefault="00C7342A" w:rsidP="003552CA">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C7342A" w:rsidRPr="00226A9E" w:rsidRDefault="00C7342A" w:rsidP="003552CA">
            <w:pPr>
              <w:rPr>
                <w:rtl/>
              </w:rPr>
            </w:pPr>
            <w:r w:rsidRPr="00226A9E">
              <w:rPr>
                <w:rtl/>
              </w:rPr>
              <w:t xml:space="preserve">كلية </w:t>
            </w:r>
            <w:r>
              <w:rPr>
                <w:rFonts w:hint="cs"/>
                <w:szCs w:val="24"/>
                <w:rtl/>
              </w:rPr>
              <w:t>االعلوم</w:t>
            </w:r>
          </w:p>
        </w:tc>
      </w:tr>
      <w:tr w:rsidR="00C7342A" w:rsidRPr="00EB4E57" w:rsidTr="003552CA">
        <w:tc>
          <w:tcPr>
            <w:tcW w:w="653" w:type="dxa"/>
            <w:tcBorders>
              <w:top w:val="nil"/>
              <w:left w:val="nil"/>
              <w:bottom w:val="nil"/>
              <w:right w:val="nil"/>
            </w:tcBorders>
          </w:tcPr>
          <w:p w:rsidR="00C7342A" w:rsidRPr="00EB4E57" w:rsidRDefault="00C7342A" w:rsidP="003552CA">
            <w:pPr>
              <w:jc w:val="both"/>
              <w:rPr>
                <w:b/>
                <w:bCs/>
              </w:rPr>
            </w:pPr>
          </w:p>
        </w:tc>
        <w:tc>
          <w:tcPr>
            <w:tcW w:w="236" w:type="dxa"/>
            <w:tcBorders>
              <w:top w:val="nil"/>
              <w:left w:val="nil"/>
              <w:bottom w:val="nil"/>
              <w:right w:val="nil"/>
            </w:tcBorders>
          </w:tcPr>
          <w:p w:rsidR="00C7342A" w:rsidRPr="00EB4E57" w:rsidRDefault="00C7342A" w:rsidP="003552CA">
            <w:pPr>
              <w:jc w:val="both"/>
              <w:rPr>
                <w:b/>
                <w:bCs/>
              </w:rPr>
            </w:pPr>
          </w:p>
        </w:tc>
        <w:tc>
          <w:tcPr>
            <w:tcW w:w="2087" w:type="dxa"/>
            <w:tcBorders>
              <w:top w:val="nil"/>
              <w:left w:val="nil"/>
              <w:bottom w:val="nil"/>
              <w:right w:val="nil"/>
            </w:tcBorders>
          </w:tcPr>
          <w:p w:rsidR="00C7342A" w:rsidRPr="00006DAB" w:rsidRDefault="00C7342A" w:rsidP="003552CA">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C7342A" w:rsidRPr="00226A9E" w:rsidRDefault="00C7342A" w:rsidP="003552CA">
            <w:pPr>
              <w:jc w:val="both"/>
            </w:pPr>
            <w:r>
              <w:rPr>
                <w:rFonts w:hint="cs"/>
                <w:rtl/>
              </w:rPr>
              <w:t xml:space="preserve">9 </w:t>
            </w:r>
            <w:r w:rsidRPr="00226A9E">
              <w:rPr>
                <w:rtl/>
              </w:rPr>
              <w:t>شهور</w:t>
            </w:r>
          </w:p>
        </w:tc>
      </w:tr>
      <w:tr w:rsidR="00C7342A" w:rsidRPr="00ED3AA7" w:rsidTr="003552CA">
        <w:trPr>
          <w:cantSplit/>
        </w:trPr>
        <w:tc>
          <w:tcPr>
            <w:tcW w:w="653" w:type="dxa"/>
            <w:tcBorders>
              <w:top w:val="nil"/>
              <w:left w:val="nil"/>
              <w:bottom w:val="nil"/>
              <w:right w:val="nil"/>
            </w:tcBorders>
          </w:tcPr>
          <w:p w:rsidR="00C7342A" w:rsidRPr="00ED3AA7" w:rsidRDefault="00C7342A" w:rsidP="003552CA">
            <w:pPr>
              <w:jc w:val="both"/>
              <w:rPr>
                <w:b/>
                <w:bCs/>
              </w:rPr>
            </w:pPr>
          </w:p>
        </w:tc>
        <w:tc>
          <w:tcPr>
            <w:tcW w:w="6560" w:type="dxa"/>
            <w:gridSpan w:val="3"/>
            <w:tcBorders>
              <w:top w:val="nil"/>
              <w:left w:val="nil"/>
              <w:bottom w:val="nil"/>
              <w:right w:val="nil"/>
            </w:tcBorders>
          </w:tcPr>
          <w:p w:rsidR="00C7342A" w:rsidRPr="00ED3AA7" w:rsidRDefault="00C7342A" w:rsidP="003552CA">
            <w:pPr>
              <w:pStyle w:val="Heading6"/>
              <w:rPr>
                <w:szCs w:val="24"/>
              </w:rPr>
            </w:pPr>
            <w:r w:rsidRPr="00ED3AA7">
              <w:rPr>
                <w:rFonts w:hint="cs"/>
                <w:szCs w:val="24"/>
                <w:rtl/>
              </w:rPr>
              <w:t>مستخلص البحث</w:t>
            </w:r>
          </w:p>
        </w:tc>
      </w:tr>
    </w:tbl>
    <w:p w:rsidR="00C7342A" w:rsidRPr="00364ACD" w:rsidRDefault="00C7342A" w:rsidP="00C7342A">
      <w:pPr>
        <w:ind w:firstLine="574"/>
        <w:jc w:val="both"/>
        <w:rPr>
          <w:sz w:val="28"/>
          <w:rtl/>
        </w:rPr>
      </w:pPr>
      <w:r w:rsidRPr="004C2824">
        <w:rPr>
          <w:rFonts w:hint="cs"/>
          <w:sz w:val="28"/>
          <w:rtl/>
          <w:lang w:bidi="ar-EG"/>
        </w:rPr>
        <w:tab/>
      </w:r>
      <w:r w:rsidRPr="00364ACD">
        <w:rPr>
          <w:sz w:val="28"/>
          <w:rtl/>
        </w:rPr>
        <w:t>تشمل أشباه الموصلات على مجموعة كبيرة من المواد التي تختلف بعضها عن بعض في خواصها الفيزيائية وتركيبها الكيميائي الذي يحدد مجال استعمالها في الصناعة. ولقد تطورت العناصر الإلكترونية المجهزة من أشباه الموصلات تطوراً هائلاً في الآونة الأخيرة نتيجة لظهور ثورتان في صناعة الأدوات الإلكترونية، الأولى باختراع الترانزستور، والثانية بتصنيع الدارات المتكاملة (</w:t>
      </w:r>
      <w:r w:rsidRPr="00364ACD">
        <w:rPr>
          <w:sz w:val="28"/>
        </w:rPr>
        <w:t>IC</w:t>
      </w:r>
      <w:r w:rsidRPr="00364ACD">
        <w:rPr>
          <w:sz w:val="28"/>
          <w:rtl/>
        </w:rPr>
        <w:t xml:space="preserve">) </w:t>
      </w:r>
      <w:r w:rsidRPr="00364ACD">
        <w:rPr>
          <w:sz w:val="28"/>
        </w:rPr>
        <w:t>Integrated circuit</w:t>
      </w:r>
      <w:r w:rsidRPr="00364ACD">
        <w:rPr>
          <w:sz w:val="28"/>
          <w:rtl/>
        </w:rPr>
        <w:t xml:space="preserve"> فالإنجازات المذهلة في مجال المواد الإلكترونية تجحدت بصورة أساسية نتيجة فهمنا الأفضل لخواص أشباه الموصلات، لذا شهد علم وتقنية أشباه الموصلات نمواً سريعاً ومستمراً صوحب بابتكارات علمية وتقنيات متطورة لذا كان البحث عن مواد شبه موصلة بلورية جديدة ذات كفاءة عالية وخصائص مميزة يمليها عليها التطور التقني بهدف تحسين وتطوير الصناعات الإلكترونية.</w:t>
      </w:r>
    </w:p>
    <w:p w:rsidR="00C7342A" w:rsidRPr="00364ACD" w:rsidRDefault="00C7342A" w:rsidP="00C7342A">
      <w:pPr>
        <w:ind w:firstLine="574"/>
        <w:jc w:val="both"/>
        <w:rPr>
          <w:sz w:val="28"/>
          <w:rtl/>
        </w:rPr>
      </w:pPr>
      <w:r w:rsidRPr="00364ACD">
        <w:rPr>
          <w:sz w:val="28"/>
          <w:rtl/>
        </w:rPr>
        <w:t>أهم المشاكل التي تواجه العلماء والباحثين لتحل محل أشباه الموصلات التقليدية. وأكثر المركبات التي تبشر بالنجاح هي المركبات المتداخلة من المجموعة الثالثة والسادسة، وتركزت الأبحاث في الوقت الحالي على المركبات الثلاثية الشالكوجنيدية المحتوية على الثاليوم. وقد وقع الاختيار في هذا المشروع والمشروعين السابقين على المركب ثاليوم – انديوم – ثنائي التليريوم من النظام الثلاثي</w:t>
      </w:r>
      <w:r w:rsidRPr="00364ACD">
        <w:rPr>
          <w:sz w:val="28"/>
        </w:rPr>
        <w:t xml:space="preserve">  </w:t>
      </w:r>
      <m:oMath>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3</m:t>
            </m:r>
          </m:sup>
        </m:sSup>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3</m:t>
            </m:r>
          </m:sup>
        </m:sSup>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2</m:t>
            </m:r>
          </m:sub>
          <m:sup>
            <m:r>
              <w:rPr>
                <w:rFonts w:ascii="Cambria Math" w:hAnsi="Cambria Math"/>
                <w:sz w:val="20"/>
                <w:szCs w:val="20"/>
              </w:rPr>
              <m:t>6</m:t>
            </m:r>
          </m:sup>
        </m:sSubSup>
      </m:oMath>
      <w:r w:rsidRPr="00364ACD">
        <w:rPr>
          <w:sz w:val="28"/>
        </w:rPr>
        <w:t xml:space="preserve"> </w:t>
      </w:r>
      <w:r w:rsidRPr="00364ACD">
        <w:rPr>
          <w:sz w:val="28"/>
          <w:rtl/>
        </w:rPr>
        <w:t xml:space="preserve">وامتداداً للبرامج البحثي للباحثين فقد تم في مشروع سابق تنفيذ تصميم محلي بسيط يتميز بكفاءته العالية وبساطته وقدرته الفائقة على إنماء بلورات عالية الجودة من المصهور اعتماداً على تقنية بريجمان، وبعد ذلك قام فريق البحث بدراسة الخواص الانتقالية </w:t>
      </w:r>
      <w:r w:rsidRPr="00364ACD">
        <w:rPr>
          <w:sz w:val="28"/>
        </w:rPr>
        <w:t xml:space="preserve">transport properties </w:t>
      </w:r>
      <w:r w:rsidRPr="00364ACD">
        <w:rPr>
          <w:sz w:val="28"/>
          <w:rtl/>
        </w:rPr>
        <w:t xml:space="preserve"> منها الموصلة الكهربية المستمرة </w:t>
      </w:r>
      <w:r w:rsidRPr="00364ACD">
        <w:rPr>
          <w:sz w:val="28"/>
        </w:rPr>
        <w:t>DC electric conductivity</w:t>
      </w:r>
      <w:r w:rsidRPr="00364ACD">
        <w:rPr>
          <w:sz w:val="28"/>
          <w:rtl/>
        </w:rPr>
        <w:t xml:space="preserve"> وظاهرة هول </w:t>
      </w:r>
      <w:r w:rsidRPr="00364ACD">
        <w:rPr>
          <w:sz w:val="28"/>
        </w:rPr>
        <w:t>Hall effect</w:t>
      </w:r>
      <w:r w:rsidRPr="00364ACD">
        <w:rPr>
          <w:sz w:val="28"/>
          <w:rtl/>
        </w:rPr>
        <w:t xml:space="preserve"> للبلورات المنماة ثم استمر العمل في المشروع الذي يليه في استكمال دراسة الظواهر الانتقالية فقد تم تنفيذ </w:t>
      </w:r>
      <w:r w:rsidRPr="00364ACD">
        <w:rPr>
          <w:sz w:val="28"/>
          <w:rtl/>
        </w:rPr>
        <w:lastRenderedPageBreak/>
        <w:t xml:space="preserve">تصميم خاص لغرفة التشغيل </w:t>
      </w:r>
      <w:r w:rsidRPr="00364ACD">
        <w:rPr>
          <w:sz w:val="28"/>
        </w:rPr>
        <w:t>working chamber</w:t>
      </w:r>
      <w:r w:rsidRPr="00364ACD">
        <w:rPr>
          <w:sz w:val="28"/>
          <w:rtl/>
        </w:rPr>
        <w:t xml:space="preserve"> لدراسة القدرة الكهروحرارية في مدى واسع من درجات الحرارة تحت تفريغ مناسب، ودرست القدرة الكهروحرارية واعتمادها على درجة الحرارة للبلورة المنماة.</w:t>
      </w:r>
    </w:p>
    <w:p w:rsidR="00C7342A" w:rsidRPr="00364ACD" w:rsidRDefault="00C7342A" w:rsidP="00C7342A">
      <w:pPr>
        <w:ind w:firstLine="574"/>
        <w:jc w:val="both"/>
        <w:rPr>
          <w:sz w:val="28"/>
          <w:rtl/>
        </w:rPr>
      </w:pPr>
      <w:r w:rsidRPr="00364ACD">
        <w:rPr>
          <w:sz w:val="28"/>
          <w:rtl/>
        </w:rPr>
        <w:t>ونظراً لما وجدناه من خلال إطلاعنا على الأبحاث المنشورة على هذا المركب من وجود قصور شديد في دراسة ظاهرة القطع والتوصيل بالإضافة إلى عدم استكمال جوانب كثيرة ذات أهمية خاصة تؤثر على حدوث هذه الظاهرة.</w:t>
      </w:r>
      <w:r w:rsidRPr="00364ACD">
        <w:rPr>
          <w:sz w:val="28"/>
        </w:rPr>
        <w:t xml:space="preserve"> </w:t>
      </w:r>
      <w:r w:rsidRPr="00364ACD">
        <w:rPr>
          <w:sz w:val="28"/>
          <w:rtl/>
        </w:rPr>
        <w:t>فمنذ اكتشاف ظاهرة القطع والتوصيل ظل ولا يزال لغز هذه الظاهرة الشغل الشاغل لفكر عدد كبير من الباحثين في هذا المضمار، وحتى يومنا هذا لم يهتد العلماء إلا لقدر يسير عن خصائص تلك الظاهرة، ولقد وضعت عدة نظريات ولكن سببها الحقيقي مازال غير معروف، وعلى الرغم من ذلك فقد أصبحت هذه الظاهرة ذات أهمية خاصة في المجال التطبيقي فليس هناك شك من الأهمية التقنية التطبيقية لظاهرة القطع والتوصيل.</w:t>
      </w:r>
    </w:p>
    <w:p w:rsidR="00C7342A" w:rsidRPr="00364ACD" w:rsidRDefault="00C7342A" w:rsidP="00C7342A">
      <w:pPr>
        <w:ind w:firstLine="574"/>
        <w:jc w:val="both"/>
        <w:rPr>
          <w:sz w:val="28"/>
          <w:rtl/>
        </w:rPr>
      </w:pPr>
      <w:r w:rsidRPr="00364ACD">
        <w:rPr>
          <w:sz w:val="28"/>
          <w:rtl/>
        </w:rPr>
        <w:t xml:space="preserve">إن نظرية ظاهرة القطع والتوصيل لم تزل غير معروفة بصورة مفصلة ودقيقة، وليس هناك شكل رياضي محدد، ومع ذلك فإن كثير من خصائصها أصبح معروفاً من خلال تحليل القياسات التجريبية التي أجريت لبعض الكميات الفيزيائية المتعلقة بها. </w:t>
      </w:r>
    </w:p>
    <w:p w:rsidR="00C7342A" w:rsidRDefault="00C7342A" w:rsidP="00C7342A">
      <w:pPr>
        <w:ind w:firstLine="574"/>
        <w:jc w:val="both"/>
        <w:rPr>
          <w:sz w:val="28"/>
          <w:rtl/>
        </w:rPr>
      </w:pPr>
      <w:r w:rsidRPr="00364ACD">
        <w:rPr>
          <w:sz w:val="28"/>
          <w:rtl/>
        </w:rPr>
        <w:t>لذا كان هدف مشروعنا البحثي هو استمرارية البحث على هذا النوع من البلورات المنماة بواسطة فريق البحث وتتبع واستقصاء حدوث ظاهرة القطع والتوصيل والتعرف على وجود ذاكرة من عدمه ودراسة العوامل المؤثرة على حدوث هذه الظاهرة من حرارة وضوء بالإضافة إلى تأثير سمك النبيطة. ذلك بالإضافة على استخلاص ثوابت ذات أهمية بالغة حيث أنها تميز حدوث هذه الظاهرة في ذلك المركب الثلاثي الشالكوجينيدي</w:t>
      </w:r>
      <w:r w:rsidRPr="00364ACD">
        <w:rPr>
          <w:sz w:val="28"/>
        </w:rPr>
        <w:t>TlInTe</w:t>
      </w:r>
      <w:r w:rsidRPr="00364ACD">
        <w:rPr>
          <w:sz w:val="28"/>
          <w:vertAlign w:val="subscript"/>
        </w:rPr>
        <w:t>2</w:t>
      </w:r>
      <w:r w:rsidRPr="00364ACD">
        <w:rPr>
          <w:sz w:val="28"/>
          <w:rtl/>
        </w:rPr>
        <w:t xml:space="preserve"> وتعطى دلالات هامة وسمات مميزة مما يفتح الباب أمامها للاستخدام في المجالات التطبيقية المتعددة.</w:t>
      </w:r>
    </w:p>
    <w:p w:rsidR="00C7342A" w:rsidRDefault="00C7342A">
      <w:pPr>
        <w:bidi w:val="0"/>
        <w:spacing w:after="200" w:line="276" w:lineRule="auto"/>
        <w:jc w:val="left"/>
        <w:rPr>
          <w:rtl/>
        </w:rPr>
      </w:pPr>
      <w:r>
        <w:rPr>
          <w:rtl/>
        </w:rPr>
        <w:br w:type="page"/>
      </w:r>
    </w:p>
    <w:p w:rsidR="007F7713" w:rsidRPr="00CC3324" w:rsidRDefault="007F7713" w:rsidP="007F7713">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7F7713" w:rsidRPr="00845A64" w:rsidRDefault="00222720" w:rsidP="007F7713">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7F7713">
        <w:rPr>
          <w:rFonts w:cs="Arial"/>
          <w:sz w:val="24"/>
          <w:szCs w:val="24"/>
        </w:rPr>
        <w:t>Physics</w:t>
      </w:r>
    </w:p>
    <w:p w:rsidR="007F7713" w:rsidRPr="007627D8" w:rsidRDefault="007F7713" w:rsidP="007F7713">
      <w:pPr>
        <w:pStyle w:val="Heading3"/>
        <w:ind w:left="436"/>
        <w:rPr>
          <w:sz w:val="24"/>
          <w:szCs w:val="24"/>
        </w:rPr>
      </w:pPr>
      <w:r>
        <w:rPr>
          <w:sz w:val="24"/>
          <w:szCs w:val="24"/>
        </w:rPr>
        <w:t>Crystal growth – TIInTe2 - Semiconductor</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7F7713" w:rsidTr="003552CA">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7F7713" w:rsidRPr="00CC3324" w:rsidRDefault="007F7713" w:rsidP="003552CA">
            <w:pPr>
              <w:bidi w:val="0"/>
              <w:rPr>
                <w:b/>
                <w:bCs/>
                <w:color w:val="0000FF"/>
                <w:sz w:val="32"/>
                <w:szCs w:val="32"/>
              </w:rPr>
            </w:pPr>
            <w:r>
              <w:rPr>
                <w:b/>
                <w:bCs/>
                <w:color w:val="0000FF"/>
                <w:sz w:val="32"/>
                <w:szCs w:val="32"/>
              </w:rPr>
              <w:t>64</w:t>
            </w:r>
          </w:p>
        </w:tc>
        <w:tc>
          <w:tcPr>
            <w:tcW w:w="264" w:type="dxa"/>
            <w:tcBorders>
              <w:top w:val="nil"/>
              <w:left w:val="single" w:sz="18" w:space="0" w:color="auto"/>
              <w:bottom w:val="nil"/>
              <w:right w:val="nil"/>
            </w:tcBorders>
          </w:tcPr>
          <w:p w:rsidR="007F7713" w:rsidRDefault="007F7713" w:rsidP="003552CA">
            <w:pPr>
              <w:bidi w:val="0"/>
              <w:rPr>
                <w:b/>
                <w:bCs/>
              </w:rPr>
            </w:pPr>
          </w:p>
        </w:tc>
        <w:tc>
          <w:tcPr>
            <w:tcW w:w="2623" w:type="dxa"/>
            <w:tcBorders>
              <w:top w:val="nil"/>
              <w:left w:val="nil"/>
              <w:bottom w:val="nil"/>
              <w:right w:val="nil"/>
            </w:tcBorders>
          </w:tcPr>
          <w:p w:rsidR="007F7713" w:rsidRPr="00E03176" w:rsidRDefault="007F7713" w:rsidP="003552CA">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7F7713" w:rsidRPr="006B0778" w:rsidRDefault="007F7713" w:rsidP="003552CA">
            <w:pPr>
              <w:pStyle w:val="NormalWeb"/>
              <w:tabs>
                <w:tab w:val="left" w:pos="720"/>
                <w:tab w:val="center" w:pos="4153"/>
                <w:tab w:val="right" w:pos="8306"/>
              </w:tabs>
              <w:jc w:val="both"/>
            </w:pPr>
            <w:r>
              <w:t>158</w:t>
            </w:r>
            <w:r w:rsidRPr="006B0778">
              <w:t>/42</w:t>
            </w:r>
            <w:r>
              <w:t>8</w:t>
            </w:r>
          </w:p>
        </w:tc>
      </w:tr>
      <w:tr w:rsidR="007F7713" w:rsidRPr="0082040A" w:rsidTr="003552CA">
        <w:trPr>
          <w:trHeight w:val="561"/>
        </w:trPr>
        <w:tc>
          <w:tcPr>
            <w:tcW w:w="600" w:type="dxa"/>
            <w:tcBorders>
              <w:top w:val="single" w:sz="18" w:space="0" w:color="auto"/>
              <w:left w:val="nil"/>
              <w:bottom w:val="nil"/>
              <w:right w:val="nil"/>
            </w:tcBorders>
            <w:vAlign w:val="center"/>
          </w:tcPr>
          <w:p w:rsidR="007F7713" w:rsidRDefault="007F7713" w:rsidP="003552CA">
            <w:pPr>
              <w:bidi w:val="0"/>
            </w:pPr>
          </w:p>
        </w:tc>
        <w:tc>
          <w:tcPr>
            <w:tcW w:w="264" w:type="dxa"/>
            <w:tcBorders>
              <w:top w:val="nil"/>
              <w:left w:val="nil"/>
              <w:bottom w:val="nil"/>
              <w:right w:val="nil"/>
            </w:tcBorders>
          </w:tcPr>
          <w:p w:rsidR="007F7713" w:rsidRDefault="007F7713" w:rsidP="003552CA">
            <w:pPr>
              <w:bidi w:val="0"/>
              <w:rPr>
                <w:b/>
                <w:bCs/>
              </w:rPr>
            </w:pPr>
          </w:p>
        </w:tc>
        <w:tc>
          <w:tcPr>
            <w:tcW w:w="2623" w:type="dxa"/>
            <w:tcBorders>
              <w:top w:val="nil"/>
              <w:left w:val="nil"/>
              <w:bottom w:val="nil"/>
              <w:right w:val="nil"/>
            </w:tcBorders>
          </w:tcPr>
          <w:p w:rsidR="007F7713" w:rsidRPr="00E03176" w:rsidRDefault="007F7713" w:rsidP="003552CA">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7F7713" w:rsidRPr="008E597D" w:rsidRDefault="007F7713" w:rsidP="007F7713">
            <w:pPr>
              <w:numPr>
                <w:ilvl w:val="0"/>
                <w:numId w:val="1"/>
              </w:numPr>
              <w:overflowPunct w:val="0"/>
              <w:autoSpaceDE w:val="0"/>
              <w:autoSpaceDN w:val="0"/>
              <w:bidi w:val="0"/>
              <w:adjustRightInd w:val="0"/>
              <w:jc w:val="left"/>
              <w:textAlignment w:val="baseline"/>
              <w:rPr>
                <w:rFonts w:cs="Times New Roman"/>
                <w:szCs w:val="24"/>
              </w:rPr>
            </w:pPr>
            <w:r>
              <w:rPr>
                <w:rFonts w:cs="Times New Roman"/>
                <w:szCs w:val="24"/>
              </w:rPr>
              <w:t>C</w:t>
            </w:r>
            <w:r w:rsidRPr="00364ACD">
              <w:rPr>
                <w:rFonts w:cs="Times New Roman"/>
                <w:szCs w:val="24"/>
              </w:rPr>
              <w:t>rystal growth and Negative – differential – resistance effects in TlInTe</w:t>
            </w:r>
            <w:r w:rsidRPr="00364ACD">
              <w:rPr>
                <w:rFonts w:cs="Times New Roman"/>
                <w:szCs w:val="24"/>
                <w:vertAlign w:val="subscript"/>
              </w:rPr>
              <w:t>2</w:t>
            </w:r>
            <w:r w:rsidRPr="00364ACD">
              <w:rPr>
                <w:rFonts w:cs="Times New Roman"/>
                <w:szCs w:val="24"/>
              </w:rPr>
              <w:t xml:space="preserve"> ternary semiconductor.</w:t>
            </w:r>
          </w:p>
        </w:tc>
      </w:tr>
      <w:tr w:rsidR="007F7713" w:rsidTr="003552CA">
        <w:trPr>
          <w:trHeight w:val="288"/>
        </w:trPr>
        <w:tc>
          <w:tcPr>
            <w:tcW w:w="600" w:type="dxa"/>
            <w:tcBorders>
              <w:top w:val="nil"/>
              <w:left w:val="nil"/>
              <w:bottom w:val="nil"/>
              <w:right w:val="nil"/>
            </w:tcBorders>
          </w:tcPr>
          <w:p w:rsidR="007F7713" w:rsidRDefault="007F7713" w:rsidP="003552CA">
            <w:pPr>
              <w:bidi w:val="0"/>
              <w:rPr>
                <w:b/>
                <w:bCs/>
              </w:rPr>
            </w:pPr>
          </w:p>
        </w:tc>
        <w:tc>
          <w:tcPr>
            <w:tcW w:w="264" w:type="dxa"/>
            <w:tcBorders>
              <w:top w:val="nil"/>
              <w:left w:val="nil"/>
              <w:bottom w:val="nil"/>
              <w:right w:val="nil"/>
            </w:tcBorders>
          </w:tcPr>
          <w:p w:rsidR="007F7713" w:rsidRDefault="007F7713" w:rsidP="003552CA">
            <w:pPr>
              <w:bidi w:val="0"/>
              <w:rPr>
                <w:b/>
                <w:bCs/>
              </w:rPr>
            </w:pPr>
          </w:p>
        </w:tc>
        <w:tc>
          <w:tcPr>
            <w:tcW w:w="2623" w:type="dxa"/>
            <w:tcBorders>
              <w:top w:val="nil"/>
              <w:left w:val="nil"/>
              <w:bottom w:val="nil"/>
              <w:right w:val="nil"/>
            </w:tcBorders>
          </w:tcPr>
          <w:p w:rsidR="007F7713" w:rsidRPr="00E03176" w:rsidRDefault="007F7713" w:rsidP="003552CA">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7F7713" w:rsidRPr="00597E5E" w:rsidRDefault="007F7713" w:rsidP="003552CA">
            <w:pPr>
              <w:bidi w:val="0"/>
              <w:jc w:val="left"/>
              <w:rPr>
                <w:rFonts w:cs="Times New Roman"/>
                <w:szCs w:val="24"/>
              </w:rPr>
            </w:pPr>
            <w:r>
              <w:rPr>
                <w:rFonts w:cs="Times New Roman"/>
                <w:szCs w:val="24"/>
              </w:rPr>
              <w:t xml:space="preserve">Prof. </w:t>
            </w:r>
            <w:r w:rsidRPr="00F755BC">
              <w:rPr>
                <w:rFonts w:cs="Times New Roman"/>
                <w:szCs w:val="24"/>
              </w:rPr>
              <w:t xml:space="preserve">Dr. </w:t>
            </w:r>
            <w:r w:rsidRPr="00364ACD">
              <w:rPr>
                <w:rFonts w:cs="Times New Roman"/>
                <w:szCs w:val="24"/>
              </w:rPr>
              <w:t xml:space="preserve">Ahmed </w:t>
            </w:r>
            <w:r w:rsidR="000F7124">
              <w:rPr>
                <w:rFonts w:cs="Times New Roman"/>
                <w:szCs w:val="24"/>
              </w:rPr>
              <w:t xml:space="preserve">Abdullah </w:t>
            </w:r>
            <w:r w:rsidRPr="00364ACD">
              <w:rPr>
                <w:rFonts w:cs="Times New Roman"/>
                <w:szCs w:val="24"/>
              </w:rPr>
              <w:t>Al-Ghamdi</w:t>
            </w:r>
          </w:p>
        </w:tc>
      </w:tr>
      <w:tr w:rsidR="007F7713" w:rsidRPr="00255200" w:rsidTr="003552CA">
        <w:trPr>
          <w:trHeight w:val="68"/>
        </w:trPr>
        <w:tc>
          <w:tcPr>
            <w:tcW w:w="600" w:type="dxa"/>
            <w:tcBorders>
              <w:top w:val="nil"/>
              <w:left w:val="nil"/>
              <w:right w:val="nil"/>
            </w:tcBorders>
          </w:tcPr>
          <w:p w:rsidR="007F7713" w:rsidRDefault="007F7713" w:rsidP="003552CA">
            <w:pPr>
              <w:bidi w:val="0"/>
              <w:rPr>
                <w:b/>
                <w:bCs/>
              </w:rPr>
            </w:pPr>
          </w:p>
        </w:tc>
        <w:tc>
          <w:tcPr>
            <w:tcW w:w="264" w:type="dxa"/>
            <w:tcBorders>
              <w:top w:val="nil"/>
              <w:left w:val="nil"/>
              <w:right w:val="nil"/>
            </w:tcBorders>
          </w:tcPr>
          <w:p w:rsidR="007F7713" w:rsidRDefault="007F7713" w:rsidP="003552CA">
            <w:pPr>
              <w:bidi w:val="0"/>
              <w:rPr>
                <w:b/>
                <w:bCs/>
              </w:rPr>
            </w:pPr>
          </w:p>
        </w:tc>
        <w:tc>
          <w:tcPr>
            <w:tcW w:w="2623" w:type="dxa"/>
            <w:tcBorders>
              <w:top w:val="nil"/>
              <w:left w:val="nil"/>
              <w:right w:val="nil"/>
            </w:tcBorders>
          </w:tcPr>
          <w:p w:rsidR="007F7713" w:rsidRPr="00E03176" w:rsidRDefault="007F7713" w:rsidP="003552CA">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7F7713" w:rsidRPr="003929F6" w:rsidRDefault="007F7713" w:rsidP="003552CA">
            <w:pPr>
              <w:bidi w:val="0"/>
              <w:jc w:val="left"/>
              <w:rPr>
                <w:rFonts w:cs="Times New Roman"/>
                <w:szCs w:val="24"/>
              </w:rPr>
            </w:pPr>
            <w:r w:rsidRPr="003929F6">
              <w:rPr>
                <w:rFonts w:cs="Times New Roman"/>
                <w:szCs w:val="24"/>
              </w:rPr>
              <w:t xml:space="preserve">Prof. Dr. Nagat Tewfik Abbas </w:t>
            </w:r>
          </w:p>
          <w:p w:rsidR="007F7713" w:rsidRPr="00846F7A" w:rsidRDefault="007F7713" w:rsidP="003552CA">
            <w:pPr>
              <w:bidi w:val="0"/>
              <w:jc w:val="left"/>
              <w:rPr>
                <w:rFonts w:cs="Times New Roman"/>
                <w:szCs w:val="24"/>
              </w:rPr>
            </w:pPr>
            <w:r w:rsidRPr="003929F6">
              <w:rPr>
                <w:rFonts w:cs="Times New Roman"/>
                <w:szCs w:val="24"/>
              </w:rPr>
              <w:t>Dr. Farag S. Al-Hazmi</w:t>
            </w:r>
          </w:p>
        </w:tc>
      </w:tr>
      <w:tr w:rsidR="007F7713" w:rsidTr="003552CA">
        <w:trPr>
          <w:trHeight w:val="334"/>
        </w:trPr>
        <w:tc>
          <w:tcPr>
            <w:tcW w:w="600" w:type="dxa"/>
            <w:tcBorders>
              <w:top w:val="nil"/>
              <w:left w:val="nil"/>
              <w:bottom w:val="nil"/>
              <w:right w:val="nil"/>
            </w:tcBorders>
          </w:tcPr>
          <w:p w:rsidR="007F7713" w:rsidRDefault="007F7713" w:rsidP="003552CA">
            <w:pPr>
              <w:bidi w:val="0"/>
              <w:rPr>
                <w:b/>
                <w:bCs/>
              </w:rPr>
            </w:pPr>
          </w:p>
        </w:tc>
        <w:tc>
          <w:tcPr>
            <w:tcW w:w="264" w:type="dxa"/>
            <w:tcBorders>
              <w:top w:val="nil"/>
              <w:left w:val="nil"/>
              <w:bottom w:val="nil"/>
              <w:right w:val="nil"/>
            </w:tcBorders>
          </w:tcPr>
          <w:p w:rsidR="007F7713" w:rsidRDefault="007F7713" w:rsidP="003552CA">
            <w:pPr>
              <w:bidi w:val="0"/>
              <w:rPr>
                <w:b/>
                <w:bCs/>
              </w:rPr>
            </w:pPr>
          </w:p>
        </w:tc>
        <w:tc>
          <w:tcPr>
            <w:tcW w:w="2623" w:type="dxa"/>
            <w:tcBorders>
              <w:top w:val="nil"/>
              <w:left w:val="nil"/>
              <w:bottom w:val="nil"/>
              <w:right w:val="nil"/>
            </w:tcBorders>
          </w:tcPr>
          <w:p w:rsidR="007F7713" w:rsidRPr="00E03176" w:rsidRDefault="007F7713" w:rsidP="003552CA">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7F7713" w:rsidRPr="006B0778" w:rsidRDefault="007F7713" w:rsidP="003552CA">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7F7713" w:rsidTr="003552CA">
        <w:trPr>
          <w:trHeight w:val="318"/>
        </w:trPr>
        <w:tc>
          <w:tcPr>
            <w:tcW w:w="600" w:type="dxa"/>
            <w:tcBorders>
              <w:top w:val="nil"/>
              <w:left w:val="nil"/>
              <w:bottom w:val="nil"/>
              <w:right w:val="nil"/>
            </w:tcBorders>
          </w:tcPr>
          <w:p w:rsidR="007F7713" w:rsidRDefault="007F7713" w:rsidP="003552CA">
            <w:pPr>
              <w:bidi w:val="0"/>
              <w:rPr>
                <w:b/>
                <w:bCs/>
              </w:rPr>
            </w:pPr>
          </w:p>
        </w:tc>
        <w:tc>
          <w:tcPr>
            <w:tcW w:w="264" w:type="dxa"/>
            <w:tcBorders>
              <w:top w:val="nil"/>
              <w:left w:val="nil"/>
              <w:bottom w:val="nil"/>
              <w:right w:val="nil"/>
            </w:tcBorders>
          </w:tcPr>
          <w:p w:rsidR="007F7713" w:rsidRDefault="007F7713" w:rsidP="003552CA">
            <w:pPr>
              <w:bidi w:val="0"/>
              <w:rPr>
                <w:b/>
                <w:bCs/>
              </w:rPr>
            </w:pPr>
          </w:p>
        </w:tc>
        <w:tc>
          <w:tcPr>
            <w:tcW w:w="2623" w:type="dxa"/>
            <w:tcBorders>
              <w:top w:val="nil"/>
              <w:left w:val="nil"/>
              <w:bottom w:val="nil"/>
              <w:right w:val="nil"/>
            </w:tcBorders>
          </w:tcPr>
          <w:p w:rsidR="007F7713" w:rsidRPr="00E03176" w:rsidRDefault="007F7713" w:rsidP="003552CA">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7F7713" w:rsidRPr="006B0778" w:rsidRDefault="007F7713" w:rsidP="003552CA">
            <w:pPr>
              <w:bidi w:val="0"/>
              <w:rPr>
                <w:szCs w:val="24"/>
              </w:rPr>
            </w:pPr>
            <w:r>
              <w:rPr>
                <w:szCs w:val="24"/>
              </w:rPr>
              <w:t xml:space="preserve">9 </w:t>
            </w:r>
            <w:r w:rsidRPr="006B0778">
              <w:rPr>
                <w:szCs w:val="24"/>
              </w:rPr>
              <w:t>Months</w:t>
            </w:r>
          </w:p>
        </w:tc>
      </w:tr>
      <w:tr w:rsidR="007F7713" w:rsidTr="003552CA">
        <w:trPr>
          <w:trHeight w:val="551"/>
        </w:trPr>
        <w:tc>
          <w:tcPr>
            <w:tcW w:w="600" w:type="dxa"/>
            <w:tcBorders>
              <w:top w:val="nil"/>
              <w:left w:val="nil"/>
              <w:bottom w:val="nil"/>
              <w:right w:val="nil"/>
            </w:tcBorders>
          </w:tcPr>
          <w:p w:rsidR="007F7713" w:rsidRDefault="007F7713" w:rsidP="003552CA">
            <w:pPr>
              <w:bidi w:val="0"/>
              <w:rPr>
                <w:b/>
                <w:bCs/>
              </w:rPr>
            </w:pPr>
          </w:p>
        </w:tc>
        <w:tc>
          <w:tcPr>
            <w:tcW w:w="6649" w:type="dxa"/>
            <w:gridSpan w:val="3"/>
            <w:tcBorders>
              <w:top w:val="nil"/>
              <w:left w:val="nil"/>
              <w:bottom w:val="nil"/>
              <w:right w:val="nil"/>
            </w:tcBorders>
          </w:tcPr>
          <w:p w:rsidR="007F7713" w:rsidRDefault="007F7713" w:rsidP="003552CA">
            <w:pPr>
              <w:pStyle w:val="Heading6"/>
              <w:bidi w:val="0"/>
            </w:pPr>
            <w:r>
              <w:t>Abstract</w:t>
            </w:r>
          </w:p>
        </w:tc>
      </w:tr>
    </w:tbl>
    <w:p w:rsidR="007F7713" w:rsidRPr="00364ACD" w:rsidRDefault="007F7713" w:rsidP="007F7713">
      <w:pPr>
        <w:bidi w:val="0"/>
        <w:ind w:firstLine="574"/>
        <w:jc w:val="both"/>
        <w:rPr>
          <w:rFonts w:cs="Times New Roman"/>
          <w:szCs w:val="24"/>
        </w:rPr>
      </w:pPr>
      <w:r w:rsidRPr="00364ACD">
        <w:rPr>
          <w:rFonts w:cs="Times New Roman"/>
          <w:szCs w:val="24"/>
        </w:rPr>
        <w:t xml:space="preserve">The switching phenomenon is one of the numerous interesting effects arising in strong electric fields. This phenomenon has been observed in a great number of crystalline, amorphous, and liquid semiconductors. At present the nature of the switching phenomenon is not yet clear and the experimental data available has not been explained unambiguously. Conflicting explanations of the experimental data are due mainly to the complex nature of the switching phenomenon, consisting of a series of independent stage during which different mechanisms can act. That is why an investigation of this phenomenon in single crystal semiconductors is of special practical interest, and can be useful for the development of the switching theory. </w:t>
      </w:r>
    </w:p>
    <w:p w:rsidR="007F7713" w:rsidRPr="00364ACD" w:rsidRDefault="007F7713" w:rsidP="007F7713">
      <w:pPr>
        <w:bidi w:val="0"/>
        <w:ind w:firstLine="574"/>
        <w:jc w:val="both"/>
        <w:rPr>
          <w:rFonts w:cs="Times New Roman"/>
          <w:szCs w:val="24"/>
        </w:rPr>
      </w:pPr>
      <w:r w:rsidRPr="00364ACD">
        <w:rPr>
          <w:rFonts w:cs="Times New Roman"/>
          <w:szCs w:val="24"/>
        </w:rPr>
        <w:t>Switching and memory effects in the electronic state are of recent interest due to poss</w:t>
      </w:r>
      <w:r w:rsidR="00042BA6">
        <w:rPr>
          <w:rFonts w:cs="Times New Roman"/>
          <w:szCs w:val="24"/>
        </w:rPr>
        <w:t>ible technological applications</w:t>
      </w:r>
      <w:r w:rsidRPr="00364ACD">
        <w:rPr>
          <w:rFonts w:cs="Times New Roman"/>
          <w:szCs w:val="24"/>
        </w:rPr>
        <w:t xml:space="preserve"> such as switching and memory devices, oscillators, and thermistors, etc. In fact very little is known about the physical properties of thallium indium ditelluride. The interest in this material is stimulated not only by their fundamental properties, but also by possible practical applications. The particular interest shown in switching studies of the P-type TLInTe</w:t>
      </w:r>
      <w:r w:rsidRPr="00364ACD">
        <w:rPr>
          <w:rFonts w:cs="Times New Roman"/>
          <w:szCs w:val="24"/>
          <w:vertAlign w:val="subscript"/>
        </w:rPr>
        <w:t>2</w:t>
      </w:r>
      <w:r w:rsidRPr="00364ACD">
        <w:rPr>
          <w:rFonts w:cs="Times New Roman"/>
          <w:szCs w:val="24"/>
        </w:rPr>
        <w:t xml:space="preserve"> compound is associated with the possibility of using it as effective switching and memory elements in electronic devices. </w:t>
      </w:r>
    </w:p>
    <w:p w:rsidR="007F7713" w:rsidRPr="00364ACD" w:rsidRDefault="007F7713" w:rsidP="007F7713">
      <w:pPr>
        <w:bidi w:val="0"/>
        <w:ind w:firstLine="574"/>
        <w:jc w:val="both"/>
        <w:rPr>
          <w:rFonts w:cs="Times New Roman"/>
          <w:szCs w:val="24"/>
        </w:rPr>
      </w:pPr>
      <w:r w:rsidRPr="00364ACD">
        <w:rPr>
          <w:rFonts w:cs="Times New Roman"/>
          <w:szCs w:val="24"/>
        </w:rPr>
        <w:t>In this project we shall discuss the switching phenomenon, and shall try to elucidate the conduction mechanism of TlInTe</w:t>
      </w:r>
      <w:r w:rsidRPr="00364ACD">
        <w:rPr>
          <w:rFonts w:cs="Times New Roman"/>
          <w:szCs w:val="24"/>
          <w:vertAlign w:val="subscript"/>
        </w:rPr>
        <w:t>2</w:t>
      </w:r>
      <w:r w:rsidRPr="00364ACD">
        <w:rPr>
          <w:rFonts w:cs="Times New Roman"/>
          <w:szCs w:val="24"/>
        </w:rPr>
        <w:t xml:space="preserve"> single crystals. Also we shall study the effect of ambient conditions, such as temperature, light illumination as well as the active thickness of the sample on the behavior of this phenomenon and the parameters of this phenomenon.</w:t>
      </w:r>
    </w:p>
    <w:p w:rsidR="007F7713" w:rsidRDefault="007F7713" w:rsidP="007F7713">
      <w:pPr>
        <w:bidi w:val="0"/>
        <w:ind w:firstLine="574"/>
        <w:jc w:val="both"/>
        <w:rPr>
          <w:rFonts w:cs="Times New Roman"/>
          <w:szCs w:val="24"/>
        </w:rPr>
      </w:pPr>
      <w:r w:rsidRPr="00364ACD">
        <w:rPr>
          <w:rFonts w:cs="Times New Roman"/>
          <w:szCs w:val="24"/>
        </w:rPr>
        <w:t xml:space="preserve">By this investigation (Crystal growth and switching effect study), we can find out the suitable field of practical application. </w:t>
      </w:r>
    </w:p>
    <w:p w:rsidR="005B55B0" w:rsidRPr="007F7713" w:rsidRDefault="005B55B0"/>
    <w:sectPr w:rsidR="005B55B0" w:rsidRPr="007F7713"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342A"/>
    <w:rsid w:val="00042BA6"/>
    <w:rsid w:val="000F7124"/>
    <w:rsid w:val="00222720"/>
    <w:rsid w:val="005B55B0"/>
    <w:rsid w:val="007F7713"/>
    <w:rsid w:val="00C7342A"/>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42A"/>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7342A"/>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7342A"/>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7342A"/>
    <w:pPr>
      <w:keepNext/>
      <w:jc w:val="both"/>
      <w:outlineLvl w:val="2"/>
    </w:pPr>
    <w:rPr>
      <w:rFonts w:ascii="Arial" w:hAnsi="Arial"/>
      <w:b/>
      <w:bCs/>
      <w:sz w:val="26"/>
    </w:rPr>
  </w:style>
  <w:style w:type="paragraph" w:styleId="Heading6">
    <w:name w:val="heading 6"/>
    <w:basedOn w:val="Normal"/>
    <w:next w:val="Normal"/>
    <w:link w:val="Heading6Char"/>
    <w:qFormat/>
    <w:rsid w:val="00C7342A"/>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42A"/>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7342A"/>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7342A"/>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7342A"/>
    <w:rPr>
      <w:rFonts w:ascii="Times New Roman" w:eastAsia="Times New Roman" w:hAnsi="Times New Roman" w:cs="Traditional Arabic"/>
      <w:b/>
      <w:bCs/>
      <w:sz w:val="24"/>
      <w:szCs w:val="28"/>
      <w:lang w:eastAsia="ar-SA"/>
    </w:rPr>
  </w:style>
  <w:style w:type="paragraph" w:styleId="ListParagraph">
    <w:name w:val="List Paragraph"/>
    <w:basedOn w:val="Normal"/>
    <w:uiPriority w:val="34"/>
    <w:qFormat/>
    <w:rsid w:val="00C7342A"/>
    <w:pPr>
      <w:ind w:left="720"/>
      <w:contextualSpacing/>
      <w:jc w:val="left"/>
    </w:pPr>
    <w:rPr>
      <w:rFonts w:eastAsia="Calibri" w:cs="Simplified Arabic"/>
      <w:sz w:val="30"/>
      <w:szCs w:val="30"/>
      <w:lang w:eastAsia="en-US"/>
    </w:rPr>
  </w:style>
  <w:style w:type="paragraph" w:styleId="BalloonText">
    <w:name w:val="Balloon Text"/>
    <w:basedOn w:val="Normal"/>
    <w:link w:val="BalloonTextChar"/>
    <w:uiPriority w:val="99"/>
    <w:semiHidden/>
    <w:unhideWhenUsed/>
    <w:rsid w:val="00C7342A"/>
    <w:rPr>
      <w:rFonts w:ascii="Tahoma" w:hAnsi="Tahoma" w:cs="Tahoma"/>
      <w:sz w:val="16"/>
      <w:szCs w:val="16"/>
    </w:rPr>
  </w:style>
  <w:style w:type="character" w:customStyle="1" w:styleId="BalloonTextChar">
    <w:name w:val="Balloon Text Char"/>
    <w:basedOn w:val="DefaultParagraphFont"/>
    <w:link w:val="BalloonText"/>
    <w:uiPriority w:val="99"/>
    <w:semiHidden/>
    <w:rsid w:val="00C7342A"/>
    <w:rPr>
      <w:rFonts w:ascii="Tahoma" w:eastAsia="Times New Roman" w:hAnsi="Tahoma" w:cs="Tahoma"/>
      <w:sz w:val="16"/>
      <w:szCs w:val="16"/>
      <w:lang w:eastAsia="ar-SA"/>
    </w:rPr>
  </w:style>
  <w:style w:type="paragraph" w:styleId="NormalWeb">
    <w:name w:val="Normal (Web)"/>
    <w:basedOn w:val="Normal"/>
    <w:link w:val="NormalWebChar"/>
    <w:rsid w:val="007F7713"/>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7F771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854</Words>
  <Characters>4871</Characters>
  <Application>Microsoft Office Word</Application>
  <DocSecurity>0</DocSecurity>
  <Lines>40</Lines>
  <Paragraphs>11</Paragraphs>
  <ScaleCrop>false</ScaleCrop>
  <Company>kaudsr</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2010-05-01T10:22:00Z</dcterms:created>
  <dcterms:modified xsi:type="dcterms:W3CDTF">2010-07-04T10:18:00Z</dcterms:modified>
</cp:coreProperties>
</file>